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17074" w14:textId="77777777" w:rsidR="00240F77" w:rsidRPr="00F743C7" w:rsidRDefault="00240F77" w:rsidP="00240F77">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6F6421ED" w14:textId="77777777" w:rsidR="00240F77" w:rsidRPr="00F743C7" w:rsidRDefault="00240F77" w:rsidP="00240F77">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6F7670D0" w14:textId="77777777" w:rsidR="00240F77" w:rsidRDefault="00240F77" w:rsidP="00240F77">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p>
    <w:p w14:paraId="2DD2D52C" w14:textId="3D537833" w:rsidR="00240F77" w:rsidRPr="00F743C7" w:rsidRDefault="00240F77" w:rsidP="00240F77">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w:t>
      </w:r>
      <w:proofErr w:type="spellStart"/>
      <w:r w:rsidRPr="00F743C7">
        <w:rPr>
          <w:rFonts w:ascii="Bookman Old Style" w:hAnsi="Bookman Old Style" w:cs="Times New Roman"/>
          <w:i/>
          <w:sz w:val="28"/>
          <w:szCs w:val="28"/>
          <w:lang w:val="el-GR"/>
        </w:rPr>
        <w:t>Αρ</w:t>
      </w:r>
      <w:proofErr w:type="spellEnd"/>
      <w:r w:rsidRPr="00F743C7">
        <w:rPr>
          <w:rFonts w:ascii="Bookman Old Style" w:hAnsi="Bookman Old Style" w:cs="Times New Roman"/>
          <w:i/>
          <w:sz w:val="28"/>
          <w:szCs w:val="28"/>
          <w:lang w:val="el-GR"/>
        </w:rPr>
        <w:t>.</w:t>
      </w:r>
      <w:r w:rsidRPr="004B2370">
        <w:rPr>
          <w:rFonts w:ascii="Bookman Old Style" w:hAnsi="Bookman Old Style" w:cs="Times New Roman"/>
          <w:i/>
          <w:sz w:val="28"/>
          <w:szCs w:val="28"/>
          <w:lang w:val="el-GR"/>
        </w:rPr>
        <w:t xml:space="preserve"> </w:t>
      </w:r>
      <w:r>
        <w:rPr>
          <w:rFonts w:ascii="Bookman Old Style" w:hAnsi="Bookman Old Style" w:cs="Times New Roman"/>
          <w:i/>
          <w:sz w:val="28"/>
          <w:szCs w:val="28"/>
          <w:lang w:val="el-GR"/>
        </w:rPr>
        <w:t>1</w:t>
      </w:r>
      <w:r w:rsidRPr="00B173E9">
        <w:rPr>
          <w:rFonts w:ascii="Bookman Old Style" w:hAnsi="Bookman Old Style" w:cs="Times New Roman"/>
          <w:i/>
          <w:sz w:val="28"/>
          <w:szCs w:val="28"/>
          <w:lang w:val="el-GR"/>
        </w:rPr>
        <w:t>74</w:t>
      </w:r>
      <w:r>
        <w:rPr>
          <w:rFonts w:ascii="Bookman Old Style" w:hAnsi="Bookman Old Style" w:cs="Times New Roman"/>
          <w:i/>
          <w:sz w:val="28"/>
          <w:szCs w:val="28"/>
          <w:lang w:val="el-GR"/>
        </w:rPr>
        <w:t>/</w:t>
      </w:r>
      <w:r w:rsidRPr="00F743C7">
        <w:rPr>
          <w:rFonts w:ascii="Bookman Old Style" w:hAnsi="Bookman Old Style" w:cs="Times New Roman"/>
          <w:i/>
          <w:sz w:val="28"/>
          <w:szCs w:val="28"/>
          <w:lang w:val="el-GR"/>
        </w:rPr>
        <w:t>201</w:t>
      </w:r>
      <w:r w:rsidRPr="004B2370">
        <w:rPr>
          <w:rFonts w:ascii="Bookman Old Style" w:hAnsi="Bookman Old Style" w:cs="Times New Roman"/>
          <w:i/>
          <w:sz w:val="28"/>
          <w:szCs w:val="28"/>
          <w:lang w:val="el-GR"/>
        </w:rPr>
        <w:t>5</w:t>
      </w:r>
      <w:r w:rsidRPr="00F743C7">
        <w:rPr>
          <w:rFonts w:ascii="Bookman Old Style" w:hAnsi="Bookman Old Style" w:cs="Times New Roman"/>
          <w:iCs/>
          <w:sz w:val="28"/>
          <w:szCs w:val="28"/>
          <w:lang w:val="el-GR"/>
        </w:rPr>
        <w:t>)</w:t>
      </w:r>
    </w:p>
    <w:p w14:paraId="0C48CB56" w14:textId="77777777" w:rsidR="00240F77" w:rsidRPr="00F743C7" w:rsidRDefault="00240F77" w:rsidP="00240F77">
      <w:pPr>
        <w:spacing w:after="0" w:line="240" w:lineRule="auto"/>
        <w:rPr>
          <w:rFonts w:ascii="Bookman Old Style" w:hAnsi="Bookman Old Style" w:cs="Times New Roman"/>
          <w:sz w:val="28"/>
          <w:szCs w:val="28"/>
          <w:lang w:val="el-GR"/>
        </w:rPr>
      </w:pPr>
    </w:p>
    <w:p w14:paraId="5FAD4741" w14:textId="2C3F93C1" w:rsidR="00240F77" w:rsidRPr="00B173E9" w:rsidRDefault="00CF432F" w:rsidP="00240F77">
      <w:pPr>
        <w:spacing w:after="0" w:line="240" w:lineRule="auto"/>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10 </w:t>
      </w:r>
      <w:r w:rsidR="00971676">
        <w:rPr>
          <w:rFonts w:ascii="Bookman Old Style" w:hAnsi="Bookman Old Style" w:cs="Times New Roman"/>
          <w:sz w:val="28"/>
          <w:szCs w:val="28"/>
          <w:lang w:val="el-GR"/>
        </w:rPr>
        <w:t>Απριλ</w:t>
      </w:r>
      <w:r w:rsidR="00240F77">
        <w:rPr>
          <w:rFonts w:ascii="Bookman Old Style" w:hAnsi="Bookman Old Style" w:cs="Times New Roman"/>
          <w:sz w:val="28"/>
          <w:szCs w:val="28"/>
          <w:lang w:val="el-GR"/>
        </w:rPr>
        <w:t>ίου</w:t>
      </w:r>
      <w:r w:rsidR="00240F77" w:rsidRPr="00F743C7">
        <w:rPr>
          <w:rFonts w:ascii="Bookman Old Style" w:hAnsi="Bookman Old Style" w:cs="Times New Roman"/>
          <w:sz w:val="28"/>
          <w:szCs w:val="28"/>
          <w:lang w:val="el-GR"/>
        </w:rPr>
        <w:t>, 202</w:t>
      </w:r>
      <w:r w:rsidR="00240F77">
        <w:rPr>
          <w:rFonts w:ascii="Bookman Old Style" w:hAnsi="Bookman Old Style" w:cs="Times New Roman"/>
          <w:sz w:val="28"/>
          <w:szCs w:val="28"/>
          <w:lang w:val="el-GR"/>
        </w:rPr>
        <w:t>4</w:t>
      </w:r>
    </w:p>
    <w:p w14:paraId="48DAF769" w14:textId="77777777" w:rsidR="00240F77" w:rsidRPr="00B173E9" w:rsidRDefault="00240F77" w:rsidP="00240F77">
      <w:pPr>
        <w:spacing w:after="0" w:line="240" w:lineRule="auto"/>
        <w:jc w:val="center"/>
        <w:rPr>
          <w:rFonts w:ascii="Bookman Old Style" w:hAnsi="Bookman Old Style" w:cs="Times New Roman"/>
          <w:sz w:val="28"/>
          <w:szCs w:val="28"/>
          <w:lang w:val="el-GR"/>
        </w:rPr>
      </w:pPr>
    </w:p>
    <w:p w14:paraId="15937E7A" w14:textId="77777777" w:rsidR="00240F77" w:rsidRPr="00F743C7" w:rsidRDefault="00240F77" w:rsidP="00240F77">
      <w:pPr>
        <w:spacing w:after="0" w:line="240" w:lineRule="auto"/>
        <w:jc w:val="center"/>
        <w:rPr>
          <w:rFonts w:ascii="Bookman Old Style" w:hAnsi="Bookman Old Style" w:cs="Times New Roman"/>
          <w:sz w:val="28"/>
          <w:szCs w:val="28"/>
          <w:lang w:val="el-GR"/>
        </w:rPr>
      </w:pPr>
    </w:p>
    <w:p w14:paraId="5667DD72" w14:textId="77777777" w:rsidR="00240F77" w:rsidRDefault="00240F77" w:rsidP="00240F77">
      <w:pPr>
        <w:spacing w:after="0" w:line="240"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69A7310F" w14:textId="77777777" w:rsidR="00240F77" w:rsidRDefault="00240F77" w:rsidP="00240F77">
      <w:pPr>
        <w:spacing w:after="0" w:line="240" w:lineRule="auto"/>
        <w:jc w:val="center"/>
        <w:rPr>
          <w:rFonts w:ascii="Bookman Old Style" w:hAnsi="Bookman Old Style" w:cs="Times New Roman"/>
          <w:sz w:val="28"/>
          <w:szCs w:val="28"/>
          <w:lang w:val="el-GR"/>
        </w:rPr>
      </w:pPr>
    </w:p>
    <w:p w14:paraId="4E11F3B3" w14:textId="77777777" w:rsidR="00240F77" w:rsidRDefault="00240F77" w:rsidP="00240F77">
      <w:pPr>
        <w:spacing w:after="0" w:line="240" w:lineRule="auto"/>
        <w:jc w:val="center"/>
        <w:rPr>
          <w:rFonts w:ascii="Bookman Old Style" w:hAnsi="Bookman Old Style" w:cs="Times New Roman"/>
          <w:sz w:val="28"/>
          <w:szCs w:val="28"/>
          <w:lang w:val="el-GR"/>
        </w:rPr>
      </w:pPr>
    </w:p>
    <w:p w14:paraId="21BEFF68" w14:textId="416A725C" w:rsidR="00240F77" w:rsidRDefault="00240F77" w:rsidP="00240F77">
      <w:pPr>
        <w:jc w:val="center"/>
        <w:rPr>
          <w:rFonts w:ascii="Bookman Old Style" w:hAnsi="Bookman Old Style" w:cs="Times New Roman"/>
          <w:sz w:val="28"/>
          <w:szCs w:val="28"/>
          <w:lang w:val="el-GR"/>
        </w:rPr>
      </w:pPr>
      <w:r>
        <w:rPr>
          <w:rFonts w:ascii="Bookman Old Style" w:hAnsi="Bookman Old Style" w:cs="Times New Roman"/>
          <w:sz w:val="28"/>
          <w:szCs w:val="28"/>
          <w:lang w:val="el-GR"/>
        </w:rPr>
        <w:t>ΣΩΤΗΡΗΣ ΔΙΑΚΟΥΡΤΗ</w:t>
      </w:r>
    </w:p>
    <w:p w14:paraId="6DCA9F57" w14:textId="352115AB" w:rsidR="00240F77" w:rsidRPr="00B173E9" w:rsidRDefault="00240F77" w:rsidP="00240F77">
      <w:pPr>
        <w:pStyle w:val="ListParagraph"/>
        <w:ind w:left="6480"/>
        <w:rPr>
          <w:rFonts w:ascii="Bookman Old Style" w:hAnsi="Bookman Old Style" w:cs="Times New Roman"/>
          <w:i/>
          <w:iCs/>
          <w:sz w:val="28"/>
          <w:szCs w:val="28"/>
          <w:lang w:val="el-GR"/>
        </w:rPr>
      </w:pPr>
      <w:proofErr w:type="spellStart"/>
      <w:r>
        <w:rPr>
          <w:rFonts w:ascii="Bookman Old Style" w:hAnsi="Bookman Old Style" w:cs="Times New Roman"/>
          <w:i/>
          <w:iCs/>
          <w:sz w:val="28"/>
          <w:szCs w:val="28"/>
          <w:lang w:val="el-GR"/>
        </w:rPr>
        <w:t>Εφεσείοντας</w:t>
      </w:r>
      <w:proofErr w:type="spellEnd"/>
      <w:r w:rsidRPr="00B173E9">
        <w:rPr>
          <w:rFonts w:ascii="Bookman Old Style" w:hAnsi="Bookman Old Style" w:cs="Times New Roman"/>
          <w:i/>
          <w:iCs/>
          <w:sz w:val="28"/>
          <w:szCs w:val="28"/>
          <w:lang w:val="el-GR"/>
        </w:rPr>
        <w:t>,</w:t>
      </w:r>
    </w:p>
    <w:p w14:paraId="114FAE2A" w14:textId="77777777" w:rsidR="00240F77" w:rsidRPr="00B173E9" w:rsidRDefault="00240F77" w:rsidP="00240F77">
      <w:pPr>
        <w:pStyle w:val="ListParagraph"/>
        <w:ind w:left="6480"/>
        <w:rPr>
          <w:rFonts w:ascii="Bookman Old Style" w:hAnsi="Bookman Old Style" w:cs="Times New Roman"/>
          <w:i/>
          <w:iCs/>
          <w:sz w:val="28"/>
          <w:szCs w:val="28"/>
          <w:lang w:val="el-GR"/>
        </w:rPr>
      </w:pPr>
    </w:p>
    <w:p w14:paraId="38D947EA" w14:textId="77777777" w:rsidR="00240F77" w:rsidRPr="00B173E9" w:rsidRDefault="00240F77" w:rsidP="00240F77">
      <w:pPr>
        <w:pStyle w:val="ListParagraph"/>
        <w:ind w:left="0"/>
        <w:jc w:val="center"/>
        <w:rPr>
          <w:rFonts w:ascii="Bookman Old Style" w:hAnsi="Bookman Old Style" w:cs="Times New Roman"/>
          <w:sz w:val="28"/>
          <w:szCs w:val="28"/>
          <w:lang w:val="el-GR"/>
        </w:rPr>
      </w:pPr>
      <w:r>
        <w:rPr>
          <w:rFonts w:ascii="Bookman Old Style" w:hAnsi="Bookman Old Style" w:cs="Times New Roman"/>
          <w:sz w:val="28"/>
          <w:szCs w:val="28"/>
        </w:rPr>
        <w:t>v</w:t>
      </w:r>
      <w:r w:rsidRPr="00B173E9">
        <w:rPr>
          <w:rFonts w:ascii="Bookman Old Style" w:hAnsi="Bookman Old Style" w:cs="Times New Roman"/>
          <w:sz w:val="28"/>
          <w:szCs w:val="28"/>
          <w:lang w:val="el-GR"/>
        </w:rPr>
        <w:t>.</w:t>
      </w:r>
    </w:p>
    <w:p w14:paraId="02A8C0DE" w14:textId="77777777" w:rsidR="00240F77" w:rsidRPr="00B173E9" w:rsidRDefault="00240F77" w:rsidP="00240F77">
      <w:pPr>
        <w:pStyle w:val="ListParagraph"/>
        <w:ind w:left="0"/>
        <w:jc w:val="center"/>
        <w:rPr>
          <w:rFonts w:ascii="Bookman Old Style" w:hAnsi="Bookman Old Style" w:cs="Times New Roman"/>
          <w:sz w:val="28"/>
          <w:szCs w:val="28"/>
          <w:lang w:val="el-GR"/>
        </w:rPr>
      </w:pPr>
    </w:p>
    <w:p w14:paraId="7CE97A0E" w14:textId="6AD37F43" w:rsidR="00240F77" w:rsidRPr="00B173E9" w:rsidRDefault="00B173E9" w:rsidP="00240F77">
      <w:pPr>
        <w:jc w:val="center"/>
        <w:rPr>
          <w:rFonts w:ascii="Bookman Old Style" w:hAnsi="Bookman Old Style" w:cs="Times New Roman"/>
          <w:sz w:val="28"/>
          <w:szCs w:val="28"/>
          <w:lang w:val="el-GR"/>
        </w:rPr>
      </w:pPr>
      <w:r>
        <w:rPr>
          <w:rFonts w:ascii="Bookman Old Style" w:hAnsi="Bookman Old Style" w:cs="Times New Roman"/>
          <w:sz w:val="28"/>
          <w:szCs w:val="28"/>
        </w:rPr>
        <w:t>B</w:t>
      </w:r>
      <w:r w:rsidRPr="00356F91">
        <w:rPr>
          <w:rFonts w:ascii="Bookman Old Style" w:hAnsi="Bookman Old Style" w:cs="Times New Roman"/>
          <w:sz w:val="28"/>
          <w:szCs w:val="28"/>
          <w:lang w:val="el-GR"/>
        </w:rPr>
        <w:t>2</w:t>
      </w:r>
      <w:r>
        <w:rPr>
          <w:rFonts w:ascii="Bookman Old Style" w:hAnsi="Bookman Old Style" w:cs="Times New Roman"/>
          <w:sz w:val="28"/>
          <w:szCs w:val="28"/>
        </w:rPr>
        <w:t>KAPITAL</w:t>
      </w:r>
      <w:r w:rsidRPr="00356F91">
        <w:rPr>
          <w:rFonts w:ascii="Bookman Old Style" w:hAnsi="Bookman Old Style" w:cs="Times New Roman"/>
          <w:sz w:val="28"/>
          <w:szCs w:val="28"/>
          <w:lang w:val="el-GR"/>
        </w:rPr>
        <w:t xml:space="preserve"> </w:t>
      </w:r>
      <w:r>
        <w:rPr>
          <w:rFonts w:ascii="Bookman Old Style" w:hAnsi="Bookman Old Style" w:cs="Times New Roman"/>
          <w:sz w:val="28"/>
          <w:szCs w:val="28"/>
        </w:rPr>
        <w:t>CYPRUS</w:t>
      </w:r>
      <w:r w:rsidRPr="00356F91">
        <w:rPr>
          <w:rFonts w:ascii="Bookman Old Style" w:hAnsi="Bookman Old Style" w:cs="Times New Roman"/>
          <w:sz w:val="28"/>
          <w:szCs w:val="28"/>
          <w:lang w:val="el-GR"/>
        </w:rPr>
        <w:t xml:space="preserve"> </w:t>
      </w:r>
      <w:r w:rsidR="00240F77">
        <w:rPr>
          <w:rFonts w:ascii="Bookman Old Style" w:hAnsi="Bookman Old Style" w:cs="Times New Roman"/>
          <w:sz w:val="28"/>
          <w:szCs w:val="28"/>
        </w:rPr>
        <w:t>LTD</w:t>
      </w:r>
    </w:p>
    <w:p w14:paraId="7EA93765" w14:textId="26571C53" w:rsidR="00240F77" w:rsidRDefault="00240F77" w:rsidP="00240F77">
      <w:pPr>
        <w:pStyle w:val="ListParagraph"/>
        <w:ind w:left="2268" w:hanging="141"/>
        <w:rPr>
          <w:rFonts w:ascii="Bookman Old Style" w:hAnsi="Bookman Old Style" w:cs="Times New Roman"/>
          <w:i/>
          <w:iCs/>
          <w:sz w:val="28"/>
          <w:szCs w:val="28"/>
          <w:lang w:val="el-GR"/>
        </w:rPr>
      </w:pPr>
      <w:r>
        <w:rPr>
          <w:rFonts w:ascii="Bookman Old Style" w:hAnsi="Bookman Old Style" w:cs="Times New Roman"/>
          <w:sz w:val="28"/>
          <w:szCs w:val="28"/>
          <w:lang w:val="el-GR"/>
        </w:rPr>
        <w:tab/>
      </w:r>
      <w:r>
        <w:rPr>
          <w:rFonts w:ascii="Bookman Old Style" w:hAnsi="Bookman Old Style" w:cs="Times New Roman"/>
          <w:sz w:val="28"/>
          <w:szCs w:val="28"/>
          <w:lang w:val="el-GR"/>
        </w:rPr>
        <w:tab/>
      </w:r>
      <w:r>
        <w:rPr>
          <w:rFonts w:ascii="Bookman Old Style" w:hAnsi="Bookman Old Style" w:cs="Times New Roman"/>
          <w:sz w:val="28"/>
          <w:szCs w:val="28"/>
          <w:lang w:val="el-GR"/>
        </w:rPr>
        <w:tab/>
      </w:r>
      <w:r>
        <w:rPr>
          <w:rFonts w:ascii="Bookman Old Style" w:hAnsi="Bookman Old Style" w:cs="Times New Roman"/>
          <w:sz w:val="28"/>
          <w:szCs w:val="28"/>
          <w:lang w:val="el-GR"/>
        </w:rPr>
        <w:tab/>
      </w:r>
      <w:r>
        <w:rPr>
          <w:rFonts w:ascii="Bookman Old Style" w:hAnsi="Bookman Old Style" w:cs="Times New Roman"/>
          <w:sz w:val="28"/>
          <w:szCs w:val="28"/>
          <w:lang w:val="el-GR"/>
        </w:rPr>
        <w:tab/>
      </w:r>
      <w:r>
        <w:rPr>
          <w:rFonts w:ascii="Bookman Old Style" w:hAnsi="Bookman Old Style" w:cs="Times New Roman"/>
          <w:sz w:val="28"/>
          <w:szCs w:val="28"/>
          <w:lang w:val="el-GR"/>
        </w:rPr>
        <w:tab/>
      </w:r>
      <w:r>
        <w:rPr>
          <w:rFonts w:ascii="Bookman Old Style" w:hAnsi="Bookman Old Style" w:cs="Times New Roman"/>
          <w:sz w:val="28"/>
          <w:szCs w:val="28"/>
          <w:lang w:val="el-GR"/>
        </w:rPr>
        <w:tab/>
      </w:r>
      <w:r>
        <w:rPr>
          <w:rFonts w:ascii="Bookman Old Style" w:hAnsi="Bookman Old Style" w:cs="Times New Roman"/>
          <w:i/>
          <w:iCs/>
          <w:sz w:val="28"/>
          <w:szCs w:val="28"/>
          <w:lang w:val="el-GR"/>
        </w:rPr>
        <w:t>Εφεσίβλητ</w:t>
      </w:r>
      <w:r w:rsidR="008F12AD">
        <w:rPr>
          <w:rFonts w:ascii="Bookman Old Style" w:hAnsi="Bookman Old Style" w:cs="Times New Roman"/>
          <w:i/>
          <w:iCs/>
          <w:sz w:val="28"/>
          <w:szCs w:val="28"/>
          <w:lang w:val="el-GR"/>
        </w:rPr>
        <w:t>ης</w:t>
      </w:r>
      <w:r>
        <w:rPr>
          <w:rFonts w:ascii="Bookman Old Style" w:hAnsi="Bookman Old Style" w:cs="Times New Roman"/>
          <w:i/>
          <w:iCs/>
          <w:sz w:val="28"/>
          <w:szCs w:val="28"/>
          <w:lang w:val="el-GR"/>
        </w:rPr>
        <w:t>.</w:t>
      </w:r>
    </w:p>
    <w:p w14:paraId="3CBF1294" w14:textId="77777777" w:rsidR="00240F77" w:rsidRDefault="00240F77" w:rsidP="00240F77">
      <w:pPr>
        <w:pStyle w:val="ListParagraph"/>
        <w:ind w:left="2268" w:hanging="141"/>
        <w:rPr>
          <w:rFonts w:ascii="Bookman Old Style" w:hAnsi="Bookman Old Style" w:cs="Times New Roman"/>
          <w:i/>
          <w:iCs/>
          <w:sz w:val="28"/>
          <w:szCs w:val="28"/>
          <w:lang w:val="el-GR"/>
        </w:rPr>
      </w:pPr>
    </w:p>
    <w:p w14:paraId="09389F65" w14:textId="77777777" w:rsidR="00240F77" w:rsidRDefault="00240F77" w:rsidP="00240F77">
      <w:pPr>
        <w:pStyle w:val="ListParagraph"/>
        <w:ind w:left="142" w:hanging="142"/>
        <w:jc w:val="center"/>
        <w:rPr>
          <w:rFonts w:ascii="Bookman Old Style" w:hAnsi="Bookman Old Style" w:cs="Times New Roman"/>
          <w:i/>
          <w:iCs/>
          <w:sz w:val="28"/>
          <w:szCs w:val="28"/>
          <w:lang w:val="el-GR"/>
        </w:rPr>
      </w:pPr>
      <w:r>
        <w:rPr>
          <w:rFonts w:ascii="Bookman Old Style" w:hAnsi="Bookman Old Style" w:cs="Times New Roman"/>
          <w:i/>
          <w:iCs/>
          <w:sz w:val="28"/>
          <w:szCs w:val="28"/>
          <w:lang w:val="el-GR"/>
        </w:rPr>
        <w:t>......................</w:t>
      </w:r>
    </w:p>
    <w:p w14:paraId="5C47A12F" w14:textId="77777777" w:rsidR="00240F77" w:rsidRPr="00F028AB" w:rsidRDefault="00240F77" w:rsidP="00240F77">
      <w:pPr>
        <w:pStyle w:val="ListParagraph"/>
        <w:ind w:left="142" w:hanging="142"/>
        <w:jc w:val="center"/>
        <w:rPr>
          <w:rFonts w:ascii="Bookman Old Style" w:hAnsi="Bookman Old Style" w:cs="Times New Roman"/>
          <w:i/>
          <w:iCs/>
          <w:sz w:val="28"/>
          <w:szCs w:val="28"/>
          <w:lang w:val="el-GR"/>
        </w:rPr>
      </w:pPr>
    </w:p>
    <w:p w14:paraId="13F1D7A1" w14:textId="77777777" w:rsidR="008F12AD" w:rsidRDefault="008F12AD" w:rsidP="00240F77">
      <w:pPr>
        <w:pStyle w:val="ListParagraph"/>
        <w:ind w:left="567"/>
        <w:rPr>
          <w:rFonts w:ascii="Bookman Old Style" w:hAnsi="Bookman Old Style" w:cs="Times New Roman"/>
          <w:i/>
          <w:iCs/>
          <w:sz w:val="28"/>
          <w:szCs w:val="28"/>
          <w:lang w:val="el-GR"/>
        </w:rPr>
      </w:pPr>
      <w:r>
        <w:rPr>
          <w:rFonts w:ascii="Bookman Old Style" w:hAnsi="Bookman Old Style" w:cs="Times New Roman"/>
          <w:i/>
          <w:iCs/>
          <w:sz w:val="28"/>
          <w:szCs w:val="28"/>
          <w:lang w:val="el-GR"/>
        </w:rPr>
        <w:t>Εφεσείων παρών, εμφανίζεται προσωπικά.</w:t>
      </w:r>
    </w:p>
    <w:p w14:paraId="5BA3D0EF" w14:textId="41FF9C99" w:rsidR="00240F77" w:rsidRDefault="008F12AD" w:rsidP="008F12AD">
      <w:pPr>
        <w:pStyle w:val="ListParagraph"/>
        <w:ind w:left="567"/>
        <w:rPr>
          <w:rFonts w:ascii="Bookman Old Style" w:hAnsi="Bookman Old Style" w:cs="Times New Roman"/>
          <w:sz w:val="28"/>
          <w:szCs w:val="28"/>
          <w:lang w:val="el-GR"/>
        </w:rPr>
      </w:pPr>
      <w:r>
        <w:rPr>
          <w:rFonts w:ascii="Bookman Old Style" w:hAnsi="Bookman Old Style" w:cs="Times New Roman"/>
          <w:i/>
          <w:iCs/>
          <w:sz w:val="28"/>
          <w:szCs w:val="28"/>
          <w:lang w:val="el-GR"/>
        </w:rPr>
        <w:t xml:space="preserve">Κ. </w:t>
      </w:r>
      <w:proofErr w:type="spellStart"/>
      <w:r>
        <w:rPr>
          <w:rFonts w:ascii="Bookman Old Style" w:hAnsi="Bookman Old Style" w:cs="Times New Roman"/>
          <w:i/>
          <w:iCs/>
          <w:sz w:val="28"/>
          <w:szCs w:val="28"/>
          <w:lang w:val="el-GR"/>
        </w:rPr>
        <w:t>Πατσαλίδου</w:t>
      </w:r>
      <w:proofErr w:type="spellEnd"/>
      <w:r>
        <w:rPr>
          <w:rFonts w:ascii="Bookman Old Style" w:hAnsi="Bookman Old Style" w:cs="Times New Roman"/>
          <w:i/>
          <w:iCs/>
          <w:sz w:val="28"/>
          <w:szCs w:val="28"/>
          <w:lang w:val="el-GR"/>
        </w:rPr>
        <w:t xml:space="preserve"> (κα), για </w:t>
      </w:r>
      <w:proofErr w:type="spellStart"/>
      <w:r>
        <w:rPr>
          <w:rFonts w:ascii="Bookman Old Style" w:hAnsi="Bookman Old Style" w:cs="Times New Roman"/>
          <w:i/>
          <w:iCs/>
          <w:sz w:val="28"/>
          <w:szCs w:val="28"/>
          <w:lang w:val="el-GR"/>
        </w:rPr>
        <w:t>Μαρκίδης</w:t>
      </w:r>
      <w:proofErr w:type="spellEnd"/>
      <w:r>
        <w:rPr>
          <w:rFonts w:ascii="Bookman Old Style" w:hAnsi="Bookman Old Style" w:cs="Times New Roman"/>
          <w:i/>
          <w:iCs/>
          <w:sz w:val="28"/>
          <w:szCs w:val="28"/>
          <w:lang w:val="el-GR"/>
        </w:rPr>
        <w:t xml:space="preserve">, </w:t>
      </w:r>
      <w:proofErr w:type="spellStart"/>
      <w:r>
        <w:rPr>
          <w:rFonts w:ascii="Bookman Old Style" w:hAnsi="Bookman Old Style" w:cs="Times New Roman"/>
          <w:i/>
          <w:iCs/>
          <w:sz w:val="28"/>
          <w:szCs w:val="28"/>
          <w:lang w:val="el-GR"/>
        </w:rPr>
        <w:t>Μαρκίδης</w:t>
      </w:r>
      <w:proofErr w:type="spellEnd"/>
      <w:r>
        <w:rPr>
          <w:rFonts w:ascii="Bookman Old Style" w:hAnsi="Bookman Old Style" w:cs="Times New Roman"/>
          <w:i/>
          <w:iCs/>
          <w:sz w:val="28"/>
          <w:szCs w:val="28"/>
          <w:lang w:val="el-GR"/>
        </w:rPr>
        <w:t xml:space="preserve"> &amp; Συνεργάτες Δ.Ε.Π.Ε.</w:t>
      </w:r>
      <w:r w:rsidR="00240F77">
        <w:rPr>
          <w:rFonts w:ascii="Bookman Old Style" w:hAnsi="Bookman Old Style" w:cs="Times New Roman"/>
          <w:sz w:val="28"/>
          <w:szCs w:val="28"/>
          <w:lang w:val="el-GR"/>
        </w:rPr>
        <w:t>,</w:t>
      </w:r>
      <w:r>
        <w:rPr>
          <w:rFonts w:ascii="Bookman Old Style" w:hAnsi="Bookman Old Style" w:cs="Times New Roman"/>
          <w:sz w:val="28"/>
          <w:szCs w:val="28"/>
          <w:lang w:val="el-GR"/>
        </w:rPr>
        <w:t xml:space="preserve"> </w:t>
      </w:r>
      <w:proofErr w:type="spellStart"/>
      <w:r>
        <w:rPr>
          <w:rFonts w:ascii="Bookman Old Style" w:hAnsi="Bookman Old Style" w:cs="Times New Roman"/>
          <w:i/>
          <w:iCs/>
          <w:sz w:val="28"/>
          <w:szCs w:val="28"/>
          <w:lang w:val="el-GR"/>
        </w:rPr>
        <w:t>Βελάρης</w:t>
      </w:r>
      <w:proofErr w:type="spellEnd"/>
      <w:r>
        <w:rPr>
          <w:rFonts w:ascii="Bookman Old Style" w:hAnsi="Bookman Old Style" w:cs="Times New Roman"/>
          <w:i/>
          <w:iCs/>
          <w:sz w:val="28"/>
          <w:szCs w:val="28"/>
          <w:lang w:val="el-GR"/>
        </w:rPr>
        <w:t xml:space="preserve"> &amp; </w:t>
      </w:r>
      <w:proofErr w:type="spellStart"/>
      <w:r>
        <w:rPr>
          <w:rFonts w:ascii="Bookman Old Style" w:hAnsi="Bookman Old Style" w:cs="Times New Roman"/>
          <w:i/>
          <w:iCs/>
          <w:sz w:val="28"/>
          <w:szCs w:val="28"/>
          <w:lang w:val="el-GR"/>
        </w:rPr>
        <w:t>Βελάρης</w:t>
      </w:r>
      <w:proofErr w:type="spellEnd"/>
      <w:r>
        <w:rPr>
          <w:rFonts w:ascii="Bookman Old Style" w:hAnsi="Bookman Old Style" w:cs="Times New Roman"/>
          <w:i/>
          <w:iCs/>
          <w:sz w:val="28"/>
          <w:szCs w:val="28"/>
          <w:lang w:val="el-GR"/>
        </w:rPr>
        <w:t xml:space="preserve"> Δ.Ε.Π.Ε. και Αντώνης Πασχαλίδης &amp; Σία Δ.Ε.Π.Ε.</w:t>
      </w:r>
      <w:r>
        <w:rPr>
          <w:rFonts w:ascii="Bookman Old Style" w:hAnsi="Bookman Old Style" w:cs="Times New Roman"/>
          <w:sz w:val="28"/>
          <w:szCs w:val="28"/>
          <w:lang w:val="el-GR"/>
        </w:rPr>
        <w:t xml:space="preserve">, </w:t>
      </w:r>
      <w:r w:rsidR="00240F77">
        <w:rPr>
          <w:rFonts w:ascii="Bookman Old Style" w:hAnsi="Bookman Old Style" w:cs="Times New Roman"/>
          <w:sz w:val="28"/>
          <w:szCs w:val="28"/>
          <w:lang w:val="el-GR"/>
        </w:rPr>
        <w:t>για τ</w:t>
      </w:r>
      <w:r>
        <w:rPr>
          <w:rFonts w:ascii="Bookman Old Style" w:hAnsi="Bookman Old Style" w:cs="Times New Roman"/>
          <w:sz w:val="28"/>
          <w:szCs w:val="28"/>
          <w:lang w:val="el-GR"/>
        </w:rPr>
        <w:t>ην Εφεσίβλητη</w:t>
      </w:r>
      <w:r w:rsidR="00240F77">
        <w:rPr>
          <w:rFonts w:ascii="Bookman Old Style" w:hAnsi="Bookman Old Style" w:cs="Times New Roman"/>
          <w:sz w:val="28"/>
          <w:szCs w:val="28"/>
          <w:lang w:val="el-GR"/>
        </w:rPr>
        <w:t>.</w:t>
      </w:r>
    </w:p>
    <w:p w14:paraId="36935723" w14:textId="77777777" w:rsidR="00240F77" w:rsidRDefault="00240F77" w:rsidP="00240F77">
      <w:pPr>
        <w:pStyle w:val="ListParagraph"/>
        <w:ind w:left="567"/>
        <w:rPr>
          <w:rFonts w:ascii="Bookman Old Style" w:hAnsi="Bookman Old Style" w:cs="Times New Roman"/>
          <w:sz w:val="28"/>
          <w:szCs w:val="28"/>
          <w:lang w:val="el-GR"/>
        </w:rPr>
      </w:pPr>
    </w:p>
    <w:p w14:paraId="4D82AC49" w14:textId="77777777" w:rsidR="00240F77" w:rsidRDefault="00240F77" w:rsidP="00240F77">
      <w:pPr>
        <w:pStyle w:val="ListParagraph"/>
        <w:ind w:left="567"/>
        <w:rPr>
          <w:rFonts w:ascii="Bookman Old Style" w:hAnsi="Bookman Old Style" w:cs="Times New Roman"/>
          <w:sz w:val="28"/>
          <w:szCs w:val="28"/>
          <w:lang w:val="el-GR"/>
        </w:rPr>
      </w:pPr>
    </w:p>
    <w:p w14:paraId="29184CCE" w14:textId="77777777" w:rsidR="00240F77" w:rsidRPr="00F743C7" w:rsidRDefault="00240F77" w:rsidP="00240F77">
      <w:pPr>
        <w:tabs>
          <w:tab w:val="left" w:pos="567"/>
        </w:tabs>
        <w:spacing w:after="0" w:line="276" w:lineRule="auto"/>
        <w:jc w:val="center"/>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w:t>
      </w:r>
    </w:p>
    <w:p w14:paraId="24473DF9" w14:textId="77777777" w:rsidR="00240F77" w:rsidRPr="00F743C7" w:rsidRDefault="00240F77" w:rsidP="00240F77">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w:t>
      </w:r>
      <w:proofErr w:type="spellStart"/>
      <w:r w:rsidRPr="00F743C7">
        <w:rPr>
          <w:rFonts w:ascii="Bookman Old Style" w:hAnsi="Bookman Old Style" w:cs="Times New Roman"/>
          <w:sz w:val="28"/>
          <w:szCs w:val="28"/>
          <w:lang w:val="el-GR"/>
        </w:rPr>
        <w:t>Εφραίμ</w:t>
      </w:r>
      <w:proofErr w:type="spellEnd"/>
      <w:r w:rsidRPr="00F743C7">
        <w:rPr>
          <w:rFonts w:ascii="Bookman Old Style" w:hAnsi="Bookman Old Style" w:cs="Times New Roman"/>
          <w:sz w:val="28"/>
          <w:szCs w:val="28"/>
          <w:lang w:val="el-GR"/>
        </w:rPr>
        <w:t>, Δ.</w:t>
      </w:r>
    </w:p>
    <w:p w14:paraId="5C2149B4" w14:textId="77777777" w:rsidR="00240F77" w:rsidRDefault="00240F77" w:rsidP="00240F77">
      <w:pPr>
        <w:tabs>
          <w:tab w:val="left" w:pos="567"/>
        </w:tabs>
        <w:jc w:val="center"/>
        <w:rPr>
          <w:rFonts w:ascii="Bookman Old Style" w:hAnsi="Bookman Old Style" w:cs="Times New Roman"/>
          <w:b/>
          <w:sz w:val="28"/>
          <w:szCs w:val="28"/>
          <w:u w:val="single"/>
          <w:lang w:val="el-GR"/>
        </w:rPr>
      </w:pPr>
    </w:p>
    <w:p w14:paraId="3D632222" w14:textId="77777777" w:rsidR="00240F77" w:rsidRDefault="00240F77" w:rsidP="00240F77">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t>Α Π Ο Φ Α Σ Η</w:t>
      </w:r>
    </w:p>
    <w:p w14:paraId="1F213484" w14:textId="77777777" w:rsidR="00240F77" w:rsidRDefault="00240F77" w:rsidP="00240F77">
      <w:pPr>
        <w:tabs>
          <w:tab w:val="left" w:pos="567"/>
        </w:tabs>
        <w:jc w:val="both"/>
        <w:rPr>
          <w:rFonts w:ascii="Bookman Old Style" w:hAnsi="Bookman Old Style" w:cs="Times New Roman"/>
          <w:b/>
          <w:sz w:val="28"/>
          <w:szCs w:val="28"/>
          <w:u w:val="single"/>
          <w:lang w:val="el-GR"/>
        </w:rPr>
      </w:pPr>
    </w:p>
    <w:p w14:paraId="51303621" w14:textId="39E8D9E4" w:rsidR="00486483" w:rsidRDefault="00240F77" w:rsidP="008F12AD">
      <w:pPr>
        <w:spacing w:line="480" w:lineRule="auto"/>
        <w:ind w:firstLine="567"/>
        <w:jc w:val="both"/>
        <w:rPr>
          <w:rFonts w:ascii="Bookman Old Style" w:hAnsi="Bookman Old Style"/>
          <w:sz w:val="28"/>
          <w:szCs w:val="28"/>
          <w:lang w:val="el-GR"/>
        </w:rPr>
      </w:pPr>
      <w:r w:rsidRPr="00F743C7">
        <w:rPr>
          <w:rFonts w:ascii="Bookman Old Style" w:hAnsi="Bookman Old Style" w:cs="Times New Roman"/>
          <w:b/>
          <w:sz w:val="28"/>
          <w:szCs w:val="28"/>
          <w:lang w:val="el-GR"/>
        </w:rPr>
        <w:t>ΕΦΡΑΙΜ, Δ.:</w:t>
      </w:r>
      <w:r>
        <w:rPr>
          <w:rFonts w:ascii="Bookman Old Style" w:hAnsi="Bookman Old Style" w:cs="Times New Roman"/>
          <w:b/>
          <w:sz w:val="28"/>
          <w:szCs w:val="28"/>
          <w:lang w:val="el-GR"/>
        </w:rPr>
        <w:t xml:space="preserve"> </w:t>
      </w:r>
      <w:r w:rsidR="00585F7E">
        <w:rPr>
          <w:rFonts w:ascii="Bookman Old Style" w:hAnsi="Bookman Old Style"/>
          <w:sz w:val="28"/>
          <w:szCs w:val="28"/>
          <w:lang w:val="el-GR"/>
        </w:rPr>
        <w:t xml:space="preserve">Η παρούσα Έφεση στρέφεται εναντίον απόφασης με την οποία επιδικάστηκε </w:t>
      </w:r>
      <w:r w:rsidR="005916EF">
        <w:rPr>
          <w:rFonts w:ascii="Bookman Old Style" w:hAnsi="Bookman Old Style"/>
          <w:sz w:val="28"/>
          <w:szCs w:val="28"/>
          <w:lang w:val="el-GR"/>
        </w:rPr>
        <w:t xml:space="preserve">υπέρ της Εφεσίβλητης και εναντίον του </w:t>
      </w:r>
      <w:r w:rsidR="005916EF">
        <w:rPr>
          <w:rFonts w:ascii="Bookman Old Style" w:hAnsi="Bookman Old Style"/>
          <w:sz w:val="28"/>
          <w:szCs w:val="28"/>
          <w:lang w:val="el-GR"/>
        </w:rPr>
        <w:lastRenderedPageBreak/>
        <w:t>Εφεσείοντ</w:t>
      </w:r>
      <w:r w:rsidR="00910F20">
        <w:rPr>
          <w:rFonts w:ascii="Bookman Old Style" w:hAnsi="Bookman Old Style"/>
          <w:sz w:val="28"/>
          <w:szCs w:val="28"/>
          <w:lang w:val="el-GR"/>
        </w:rPr>
        <w:t>α</w:t>
      </w:r>
      <w:r w:rsidR="005916EF">
        <w:rPr>
          <w:rFonts w:ascii="Bookman Old Style" w:hAnsi="Bookman Old Style"/>
          <w:sz w:val="28"/>
          <w:szCs w:val="28"/>
          <w:lang w:val="el-GR"/>
        </w:rPr>
        <w:t xml:space="preserve"> </w:t>
      </w:r>
      <w:r w:rsidR="00585F7E">
        <w:rPr>
          <w:rFonts w:ascii="Bookman Old Style" w:hAnsi="Bookman Old Style"/>
          <w:sz w:val="28"/>
          <w:szCs w:val="28"/>
          <w:lang w:val="el-GR"/>
        </w:rPr>
        <w:t xml:space="preserve">το ποσό των </w:t>
      </w:r>
      <w:r w:rsidR="005916EF">
        <w:rPr>
          <w:rFonts w:ascii="Bookman Old Style" w:hAnsi="Bookman Old Style"/>
          <w:sz w:val="28"/>
          <w:szCs w:val="28"/>
          <w:lang w:val="el-GR"/>
        </w:rPr>
        <w:t>€</w:t>
      </w:r>
      <w:r w:rsidR="00AC3478">
        <w:rPr>
          <w:rFonts w:ascii="Bookman Old Style" w:hAnsi="Bookman Old Style"/>
          <w:sz w:val="28"/>
          <w:szCs w:val="28"/>
          <w:lang w:val="el-GR"/>
        </w:rPr>
        <w:t xml:space="preserve">95.890,76 </w:t>
      </w:r>
      <w:r w:rsidR="005916EF">
        <w:rPr>
          <w:rFonts w:ascii="Bookman Old Style" w:hAnsi="Bookman Old Style"/>
          <w:sz w:val="28"/>
          <w:szCs w:val="28"/>
          <w:lang w:val="el-GR"/>
        </w:rPr>
        <w:t xml:space="preserve">πλέον τόκο και έξοδα, ως οφειλόμενο υπόλοιπο δυνάμει συμφωνίας για συμμετοχή σε επενδυτικό σχέδιο, ήτοι </w:t>
      </w:r>
      <w:r w:rsidR="00A31CB0">
        <w:rPr>
          <w:rFonts w:ascii="Bookman Old Style" w:hAnsi="Bookman Old Style"/>
          <w:sz w:val="28"/>
          <w:szCs w:val="28"/>
          <w:lang w:val="el-GR"/>
        </w:rPr>
        <w:t xml:space="preserve">για </w:t>
      </w:r>
      <w:r w:rsidR="005916EF">
        <w:rPr>
          <w:rFonts w:ascii="Bookman Old Style" w:hAnsi="Bookman Old Style"/>
          <w:sz w:val="28"/>
          <w:szCs w:val="28"/>
          <w:lang w:val="el-GR"/>
        </w:rPr>
        <w:t xml:space="preserve">άνοιγμα επενδυτικού λογαριασμού με πιστωτικό όριο για την αγοραπωλησία μετοχών </w:t>
      </w:r>
      <w:r w:rsidR="000F329A">
        <w:rPr>
          <w:rFonts w:ascii="Bookman Old Style" w:hAnsi="Bookman Old Style"/>
          <w:sz w:val="28"/>
          <w:szCs w:val="28"/>
          <w:lang w:val="el-GR"/>
        </w:rPr>
        <w:t>στο</w:t>
      </w:r>
      <w:r w:rsidR="005916EF">
        <w:rPr>
          <w:rFonts w:ascii="Bookman Old Style" w:hAnsi="Bookman Old Style"/>
          <w:sz w:val="28"/>
          <w:szCs w:val="28"/>
          <w:lang w:val="el-GR"/>
        </w:rPr>
        <w:t xml:space="preserve"> Χρηματιστ</w:t>
      </w:r>
      <w:r w:rsidR="000F329A">
        <w:rPr>
          <w:rFonts w:ascii="Bookman Old Style" w:hAnsi="Bookman Old Style"/>
          <w:sz w:val="28"/>
          <w:szCs w:val="28"/>
          <w:lang w:val="el-GR"/>
        </w:rPr>
        <w:t>ήριο</w:t>
      </w:r>
      <w:r w:rsidR="005916EF">
        <w:rPr>
          <w:rFonts w:ascii="Bookman Old Style" w:hAnsi="Bookman Old Style"/>
          <w:sz w:val="28"/>
          <w:szCs w:val="28"/>
          <w:lang w:val="el-GR"/>
        </w:rPr>
        <w:t xml:space="preserve"> Αξιών Κύπρου</w:t>
      </w:r>
      <w:r w:rsidR="00FE004E">
        <w:rPr>
          <w:rFonts w:ascii="Bookman Old Style" w:hAnsi="Bookman Old Style"/>
          <w:sz w:val="28"/>
          <w:szCs w:val="28"/>
          <w:lang w:val="el-GR"/>
        </w:rPr>
        <w:t xml:space="preserve"> (ΧΑΚ)</w:t>
      </w:r>
      <w:r w:rsidR="005916EF">
        <w:rPr>
          <w:rFonts w:ascii="Bookman Old Style" w:hAnsi="Bookman Old Style"/>
          <w:sz w:val="28"/>
          <w:szCs w:val="28"/>
          <w:lang w:val="el-GR"/>
        </w:rPr>
        <w:t xml:space="preserve">. </w:t>
      </w:r>
    </w:p>
    <w:p w14:paraId="601EDEC9" w14:textId="31ED6AC7" w:rsidR="00FA28C9" w:rsidRDefault="00364893" w:rsidP="008F12AD">
      <w:pPr>
        <w:tabs>
          <w:tab w:val="left" w:pos="5781"/>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Στις 26.3.2001</w:t>
      </w:r>
      <w:r w:rsidR="00FA28C9">
        <w:rPr>
          <w:rFonts w:ascii="Bookman Old Style" w:hAnsi="Bookman Old Style"/>
          <w:sz w:val="28"/>
          <w:szCs w:val="28"/>
          <w:lang w:val="el-GR"/>
        </w:rPr>
        <w:t xml:space="preserve"> </w:t>
      </w:r>
      <w:r w:rsidR="0017741A">
        <w:rPr>
          <w:rFonts w:ascii="Bookman Old Style" w:hAnsi="Bookman Old Style"/>
          <w:sz w:val="28"/>
          <w:szCs w:val="28"/>
          <w:lang w:val="el-GR"/>
        </w:rPr>
        <w:t xml:space="preserve">ο </w:t>
      </w:r>
      <w:r w:rsidR="00FA28C9">
        <w:rPr>
          <w:rFonts w:ascii="Bookman Old Style" w:hAnsi="Bookman Old Style"/>
          <w:sz w:val="28"/>
          <w:szCs w:val="28"/>
          <w:lang w:val="el-GR"/>
        </w:rPr>
        <w:t>Εφεσείων συνήψε την ως άνω συμφωνί</w:t>
      </w:r>
      <w:r w:rsidR="00A3656B">
        <w:rPr>
          <w:rFonts w:ascii="Bookman Old Style" w:hAnsi="Bookman Old Style"/>
          <w:sz w:val="28"/>
          <w:szCs w:val="28"/>
          <w:lang w:val="el-GR"/>
        </w:rPr>
        <w:t xml:space="preserve">α </w:t>
      </w:r>
      <w:r w:rsidR="00FA28C9">
        <w:rPr>
          <w:rFonts w:ascii="Bookman Old Style" w:hAnsi="Bookman Old Style"/>
          <w:sz w:val="28"/>
          <w:szCs w:val="28"/>
          <w:lang w:val="el-GR"/>
        </w:rPr>
        <w:t xml:space="preserve">δυνάμει της οποίας η Εφεσίβλητη άνοιξε λογαριασμό στο όνομα του με </w:t>
      </w:r>
      <w:r>
        <w:rPr>
          <w:rFonts w:ascii="Bookman Old Style" w:hAnsi="Bookman Old Style"/>
          <w:sz w:val="28"/>
          <w:szCs w:val="28"/>
          <w:lang w:val="el-GR"/>
        </w:rPr>
        <w:t xml:space="preserve">παραχώρηση </w:t>
      </w:r>
      <w:r w:rsidR="0017741A">
        <w:rPr>
          <w:rFonts w:ascii="Bookman Old Style" w:hAnsi="Bookman Old Style"/>
          <w:sz w:val="28"/>
          <w:szCs w:val="28"/>
          <w:lang w:val="el-GR"/>
        </w:rPr>
        <w:t xml:space="preserve">ορίου </w:t>
      </w:r>
      <w:r w:rsidR="00FA28C9">
        <w:rPr>
          <w:rFonts w:ascii="Bookman Old Style" w:hAnsi="Bookman Old Style"/>
          <w:sz w:val="28"/>
          <w:szCs w:val="28"/>
          <w:lang w:val="el-GR"/>
        </w:rPr>
        <w:t>εκ ΛΚ50.000 για τον σκοπό αγορ</w:t>
      </w:r>
      <w:r w:rsidR="0017741A">
        <w:rPr>
          <w:rFonts w:ascii="Bookman Old Style" w:hAnsi="Bookman Old Style"/>
          <w:sz w:val="28"/>
          <w:szCs w:val="28"/>
          <w:lang w:val="el-GR"/>
        </w:rPr>
        <w:t>απωλησίας</w:t>
      </w:r>
      <w:r w:rsidR="00FA28C9">
        <w:rPr>
          <w:rFonts w:ascii="Bookman Old Style" w:hAnsi="Bookman Old Style"/>
          <w:sz w:val="28"/>
          <w:szCs w:val="28"/>
          <w:lang w:val="el-GR"/>
        </w:rPr>
        <w:t xml:space="preserve"> μετοχών</w:t>
      </w:r>
      <w:r w:rsidR="0017741A" w:rsidRPr="0017741A">
        <w:rPr>
          <w:rFonts w:ascii="Bookman Old Style" w:hAnsi="Bookman Old Style"/>
          <w:sz w:val="28"/>
          <w:szCs w:val="28"/>
          <w:lang w:val="el-GR"/>
        </w:rPr>
        <w:t xml:space="preserve"> </w:t>
      </w:r>
      <w:r w:rsidR="0017741A">
        <w:rPr>
          <w:rFonts w:ascii="Bookman Old Style" w:hAnsi="Bookman Old Style"/>
          <w:sz w:val="28"/>
          <w:szCs w:val="28"/>
          <w:lang w:val="el-GR"/>
        </w:rPr>
        <w:t>στο ΧΑΚ</w:t>
      </w:r>
      <w:r w:rsidR="00FA28C9">
        <w:rPr>
          <w:rFonts w:ascii="Bookman Old Style" w:hAnsi="Bookman Old Style"/>
          <w:sz w:val="28"/>
          <w:szCs w:val="28"/>
          <w:lang w:val="el-GR"/>
        </w:rPr>
        <w:t xml:space="preserve">. </w:t>
      </w:r>
      <w:r>
        <w:rPr>
          <w:rFonts w:ascii="Bookman Old Style" w:hAnsi="Bookman Old Style"/>
          <w:sz w:val="28"/>
          <w:szCs w:val="28"/>
          <w:lang w:val="el-GR"/>
        </w:rPr>
        <w:t xml:space="preserve">Ταυτόχρονα ο Εφεσείων υπέγραψε πληρεξούσιο με το οποίο διόρισε ως πληρεξούσιο αντιπρόσωπο του για την αγοραπωλησία </w:t>
      </w:r>
      <w:r w:rsidR="0017741A">
        <w:rPr>
          <w:rFonts w:ascii="Bookman Old Style" w:hAnsi="Bookman Old Style"/>
          <w:sz w:val="28"/>
          <w:szCs w:val="28"/>
          <w:lang w:val="el-GR"/>
        </w:rPr>
        <w:t xml:space="preserve">των </w:t>
      </w:r>
      <w:r>
        <w:rPr>
          <w:rFonts w:ascii="Bookman Old Style" w:hAnsi="Bookman Old Style"/>
          <w:sz w:val="28"/>
          <w:szCs w:val="28"/>
          <w:lang w:val="el-GR"/>
        </w:rPr>
        <w:t xml:space="preserve">μετοχών την Ελληνική Τράπεζα (Επενδύσεις) Λτδ (ΕΤΕ), θυγατρική της Εφεσίβλητης. </w:t>
      </w:r>
      <w:r w:rsidR="000E4A47">
        <w:rPr>
          <w:rFonts w:ascii="Bookman Old Style" w:hAnsi="Bookman Old Style"/>
          <w:sz w:val="28"/>
          <w:szCs w:val="28"/>
          <w:lang w:val="el-GR"/>
        </w:rPr>
        <w:t>Δυνάμει γραπτής συμφωνίας</w:t>
      </w:r>
      <w:r w:rsidR="00F86332">
        <w:rPr>
          <w:rFonts w:ascii="Bookman Old Style" w:hAnsi="Bookman Old Style"/>
          <w:sz w:val="28"/>
          <w:szCs w:val="28"/>
          <w:lang w:val="el-GR"/>
        </w:rPr>
        <w:t xml:space="preserve"> μεταξύ του Εφεσείοντα και της ΕΤΕ</w:t>
      </w:r>
      <w:r w:rsidR="000E4A47">
        <w:rPr>
          <w:rFonts w:ascii="Bookman Old Style" w:hAnsi="Bookman Old Style"/>
          <w:sz w:val="28"/>
          <w:szCs w:val="28"/>
          <w:lang w:val="el-GR"/>
        </w:rPr>
        <w:t xml:space="preserve">, η </w:t>
      </w:r>
      <w:r w:rsidR="00F86332">
        <w:rPr>
          <w:rFonts w:ascii="Bookman Old Style" w:hAnsi="Bookman Old Style"/>
          <w:sz w:val="28"/>
          <w:szCs w:val="28"/>
          <w:lang w:val="el-GR"/>
        </w:rPr>
        <w:t>τελευταία</w:t>
      </w:r>
      <w:r w:rsidR="000E4A47">
        <w:rPr>
          <w:rFonts w:ascii="Bookman Old Style" w:hAnsi="Bookman Old Style"/>
          <w:sz w:val="28"/>
          <w:szCs w:val="28"/>
          <w:lang w:val="el-GR"/>
        </w:rPr>
        <w:t xml:space="preserve"> θα λάμβανε ετήσιο δικαίωμα διαχείρισης, το οποίο χρεωνόταν στον ως άνω λογαριασμό του Εφεσείοντα. </w:t>
      </w:r>
      <w:r w:rsidR="000F3C1C">
        <w:rPr>
          <w:rFonts w:ascii="Bookman Old Style" w:hAnsi="Bookman Old Style"/>
          <w:sz w:val="28"/>
          <w:szCs w:val="28"/>
          <w:lang w:val="el-GR"/>
        </w:rPr>
        <w:t>Ο Εφεσείων υ</w:t>
      </w:r>
      <w:r>
        <w:rPr>
          <w:rFonts w:ascii="Bookman Old Style" w:hAnsi="Bookman Old Style"/>
          <w:sz w:val="28"/>
          <w:szCs w:val="28"/>
          <w:lang w:val="el-GR"/>
        </w:rPr>
        <w:t xml:space="preserve">πέγραψε επίσης έγγραφο ενεχυρίασης μετοχών, με το οποίο όλες οι μετοχές που θα αγοράζονταν από </w:t>
      </w:r>
      <w:r w:rsidR="000F3C1C">
        <w:rPr>
          <w:rFonts w:ascii="Bookman Old Style" w:hAnsi="Bookman Old Style"/>
          <w:sz w:val="28"/>
          <w:szCs w:val="28"/>
          <w:lang w:val="el-GR"/>
        </w:rPr>
        <w:t xml:space="preserve">αυτόν </w:t>
      </w:r>
      <w:r>
        <w:rPr>
          <w:rFonts w:ascii="Bookman Old Style" w:hAnsi="Bookman Old Style"/>
          <w:sz w:val="28"/>
          <w:szCs w:val="28"/>
          <w:lang w:val="el-GR"/>
        </w:rPr>
        <w:t xml:space="preserve">θα ενεχυριάζονταν υπέρ της Εφεσίβλητης ως εξασφάλιση, με δικαίωμα της τελευταίας να τις πωλήσει έναντι της οφειλής του Εφεσείοντα προς αυτή. Εκτός από τις μετοχές, ο Εφεσείων κατέβαλε και το ποσό των ΛΚ2.000 ως περαιτέρω εξασφάλιση. Η ΕΤΕ προέβαινε στην αγοραπωλησία των μετοχών οι οποίες ενεχυριάζονταν </w:t>
      </w:r>
      <w:r>
        <w:rPr>
          <w:rFonts w:ascii="Bookman Old Style" w:hAnsi="Bookman Old Style"/>
          <w:sz w:val="28"/>
          <w:szCs w:val="28"/>
          <w:lang w:val="el-GR"/>
        </w:rPr>
        <w:lastRenderedPageBreak/>
        <w:t xml:space="preserve">προς όφελος της Εφεσίβλητης. Το 2001 ζητήθηκε από τον Εφεσείοντα να καταθέσει το ποσό των ΛΚ3.000 για να καλύψει το προβλεπόμενο στη συμφωνία ποσοστό ασφάλειας, κάτι το οποίο δεν έπραξε. Τελικώς, με επιστολή της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5.2.2003 η Εφεσίβλητη τερμάτισε τον επίδικο λογαριασμό και ζήτησε εξόφληση του οφειλόμενο</w:t>
      </w:r>
      <w:r w:rsidR="00B5606D">
        <w:rPr>
          <w:rFonts w:ascii="Bookman Old Style" w:hAnsi="Bookman Old Style"/>
          <w:sz w:val="28"/>
          <w:szCs w:val="28"/>
          <w:lang w:val="el-GR"/>
        </w:rPr>
        <w:t>υ</w:t>
      </w:r>
      <w:r>
        <w:rPr>
          <w:rFonts w:ascii="Bookman Old Style" w:hAnsi="Bookman Old Style"/>
          <w:sz w:val="28"/>
          <w:szCs w:val="28"/>
          <w:lang w:val="el-GR"/>
        </w:rPr>
        <w:t xml:space="preserve"> υπολοίπου. Τον Ιανουάριο του 2008 η Εφεσίβλητη πώλησε τις </w:t>
      </w:r>
      <w:r w:rsidR="00B44DD8">
        <w:rPr>
          <w:rFonts w:ascii="Bookman Old Style" w:hAnsi="Bookman Old Style"/>
          <w:sz w:val="28"/>
          <w:szCs w:val="28"/>
          <w:lang w:val="el-GR"/>
        </w:rPr>
        <w:t xml:space="preserve">προς όφελος της ενεχυριασμένες </w:t>
      </w:r>
      <w:r>
        <w:rPr>
          <w:rFonts w:ascii="Bookman Old Style" w:hAnsi="Bookman Old Style"/>
          <w:sz w:val="28"/>
          <w:szCs w:val="28"/>
          <w:lang w:val="el-GR"/>
        </w:rPr>
        <w:t xml:space="preserve">μετοχές </w:t>
      </w:r>
      <w:r w:rsidR="00B44DD8">
        <w:rPr>
          <w:rFonts w:ascii="Bookman Old Style" w:hAnsi="Bookman Old Style"/>
          <w:sz w:val="28"/>
          <w:szCs w:val="28"/>
          <w:lang w:val="el-GR"/>
        </w:rPr>
        <w:t xml:space="preserve">του Εφεσείοντα </w:t>
      </w:r>
      <w:r>
        <w:rPr>
          <w:rFonts w:ascii="Bookman Old Style" w:hAnsi="Bookman Old Style"/>
          <w:sz w:val="28"/>
          <w:szCs w:val="28"/>
          <w:lang w:val="el-GR"/>
        </w:rPr>
        <w:t xml:space="preserve">και το προϊόν της πώλησης πιστώθηκε στον λογαριασμό του, αφήνοντας υπόλοιπο για το οποίο εκδόθηκε η προσβαλλόμενη απόφαση. </w:t>
      </w:r>
    </w:p>
    <w:p w14:paraId="006D64B7" w14:textId="74C2FFEB" w:rsidR="002414A3" w:rsidRDefault="002414A3"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Η θέση του Εφεσείοντ</w:t>
      </w:r>
      <w:r w:rsidR="00996A9C">
        <w:rPr>
          <w:rFonts w:ascii="Bookman Old Style" w:hAnsi="Bookman Old Style"/>
          <w:sz w:val="28"/>
          <w:szCs w:val="28"/>
          <w:lang w:val="el-GR"/>
        </w:rPr>
        <w:t>α</w:t>
      </w:r>
      <w:r w:rsidR="0017741A">
        <w:rPr>
          <w:rFonts w:ascii="Bookman Old Style" w:hAnsi="Bookman Old Style"/>
          <w:sz w:val="28"/>
          <w:szCs w:val="28"/>
          <w:lang w:val="el-GR"/>
        </w:rPr>
        <w:t>, όπως αναφερόταν στην υπεράσπιση και προωθήθηκε κατά τη μαρτυρία του,</w:t>
      </w:r>
      <w:r>
        <w:rPr>
          <w:rFonts w:ascii="Bookman Old Style" w:hAnsi="Bookman Old Style"/>
          <w:sz w:val="28"/>
          <w:szCs w:val="28"/>
          <w:lang w:val="el-GR"/>
        </w:rPr>
        <w:t xml:space="preserve"> ήταν ότι η εν λόγω συμφωνία </w:t>
      </w:r>
      <w:proofErr w:type="spellStart"/>
      <w:r>
        <w:rPr>
          <w:rFonts w:ascii="Bookman Old Style" w:hAnsi="Bookman Old Style"/>
          <w:sz w:val="28"/>
          <w:szCs w:val="28"/>
          <w:lang w:val="el-GR"/>
        </w:rPr>
        <w:t>συνήφθη</w:t>
      </w:r>
      <w:proofErr w:type="spellEnd"/>
      <w:r>
        <w:rPr>
          <w:rFonts w:ascii="Bookman Old Style" w:hAnsi="Bookman Old Style"/>
          <w:sz w:val="28"/>
          <w:szCs w:val="28"/>
          <w:lang w:val="el-GR"/>
        </w:rPr>
        <w:t xml:space="preserve"> συνεπεία απόκρυψης ουσιωδών εμπιστευτικών πληροφοριών και παραπλανητικών και αναληθών παραστάσεων εκ μέρους της Εφεσίβλητης η οποία συμμετείχε σε χειραγώγηση τιμών των μετοχών και βρισκόταν σε σχέση ισχύος έναντι του Εφεσείοντα. Ήταν επίσης η θέση του ότι υπήρχε σχέση </w:t>
      </w:r>
      <w:proofErr w:type="spellStart"/>
      <w:r>
        <w:rPr>
          <w:rFonts w:ascii="Bookman Old Style" w:hAnsi="Bookman Old Style"/>
          <w:sz w:val="28"/>
          <w:szCs w:val="28"/>
          <w:lang w:val="el-GR"/>
        </w:rPr>
        <w:t>εμπιστεύματος</w:t>
      </w:r>
      <w:proofErr w:type="spellEnd"/>
      <w:r>
        <w:rPr>
          <w:rFonts w:ascii="Bookman Old Style" w:hAnsi="Bookman Old Style"/>
          <w:sz w:val="28"/>
          <w:szCs w:val="28"/>
          <w:lang w:val="el-GR"/>
        </w:rPr>
        <w:t xml:space="preserve"> μεταξύ του και της Εφεσίβλητης</w:t>
      </w:r>
      <w:r w:rsidR="00B44DD8" w:rsidRPr="00B44DD8">
        <w:rPr>
          <w:rFonts w:ascii="Bookman Old Style" w:hAnsi="Bookman Old Style"/>
          <w:sz w:val="28"/>
          <w:szCs w:val="28"/>
          <w:lang w:val="el-GR"/>
        </w:rPr>
        <w:t xml:space="preserve"> </w:t>
      </w:r>
      <w:r w:rsidR="00B44DD8">
        <w:rPr>
          <w:rFonts w:ascii="Bookman Old Style" w:hAnsi="Bookman Old Style"/>
          <w:sz w:val="28"/>
          <w:szCs w:val="28"/>
          <w:lang w:val="el-GR"/>
        </w:rPr>
        <w:t>για την ορθή διαχείριση της περιουσίας του</w:t>
      </w:r>
      <w:r>
        <w:rPr>
          <w:rFonts w:ascii="Bookman Old Style" w:hAnsi="Bookman Old Style"/>
          <w:sz w:val="28"/>
          <w:szCs w:val="28"/>
          <w:lang w:val="el-GR"/>
        </w:rPr>
        <w:t xml:space="preserve">, την οποία η τελευταία παρέλειψε να τηρήσει. Τέλος, </w:t>
      </w:r>
      <w:proofErr w:type="spellStart"/>
      <w:r>
        <w:rPr>
          <w:rFonts w:ascii="Bookman Old Style" w:hAnsi="Bookman Old Style"/>
          <w:sz w:val="28"/>
          <w:szCs w:val="28"/>
          <w:lang w:val="el-GR"/>
        </w:rPr>
        <w:t>προέβαλε</w:t>
      </w:r>
      <w:proofErr w:type="spellEnd"/>
      <w:r>
        <w:rPr>
          <w:rFonts w:ascii="Bookman Old Style" w:hAnsi="Bookman Old Style"/>
          <w:sz w:val="28"/>
          <w:szCs w:val="28"/>
          <w:lang w:val="el-GR"/>
        </w:rPr>
        <w:t xml:space="preserve"> τη θέση ότι ενώ ο ίδιος έδωσε οδηγίες στην Εφεσίβλητη για πώληση των μετοχών του από το 2001, η τελευταία κακόπιστα και παράνομα δεν </w:t>
      </w:r>
      <w:r>
        <w:rPr>
          <w:rFonts w:ascii="Bookman Old Style" w:hAnsi="Bookman Old Style"/>
          <w:sz w:val="28"/>
          <w:szCs w:val="28"/>
          <w:lang w:val="el-GR"/>
        </w:rPr>
        <w:lastRenderedPageBreak/>
        <w:t xml:space="preserve">το έπραξε μέχρι και το 2008, οπότε και παρέμεινε το κατ’ ισχυρισμό οφειλόμενο υπόλοιπο. </w:t>
      </w:r>
      <w:r w:rsidR="005C0551">
        <w:rPr>
          <w:rFonts w:ascii="Bookman Old Style" w:hAnsi="Bookman Old Style"/>
          <w:sz w:val="28"/>
          <w:szCs w:val="28"/>
          <w:lang w:val="el-GR"/>
        </w:rPr>
        <w:t xml:space="preserve">Ήγειρε και ανταπαίτηση με την οποία αξίωνε απόφαση </w:t>
      </w:r>
      <w:r w:rsidR="00780E27">
        <w:rPr>
          <w:rFonts w:ascii="Bookman Old Style" w:hAnsi="Bookman Old Style"/>
          <w:sz w:val="28"/>
          <w:szCs w:val="28"/>
          <w:lang w:val="el-GR"/>
        </w:rPr>
        <w:t xml:space="preserve">για ακύρωση της </w:t>
      </w:r>
      <w:r w:rsidR="005C0551">
        <w:rPr>
          <w:rFonts w:ascii="Bookman Old Style" w:hAnsi="Bookman Old Style"/>
          <w:sz w:val="28"/>
          <w:szCs w:val="28"/>
          <w:lang w:val="el-GR"/>
        </w:rPr>
        <w:t>επίδικη</w:t>
      </w:r>
      <w:r w:rsidR="00780E27">
        <w:rPr>
          <w:rFonts w:ascii="Bookman Old Style" w:hAnsi="Bookman Old Style"/>
          <w:sz w:val="28"/>
          <w:szCs w:val="28"/>
          <w:lang w:val="el-GR"/>
        </w:rPr>
        <w:t>ς</w:t>
      </w:r>
      <w:r w:rsidR="005C0551">
        <w:rPr>
          <w:rFonts w:ascii="Bookman Old Style" w:hAnsi="Bookman Old Style"/>
          <w:sz w:val="28"/>
          <w:szCs w:val="28"/>
          <w:lang w:val="el-GR"/>
        </w:rPr>
        <w:t xml:space="preserve"> συμφωνία</w:t>
      </w:r>
      <w:r w:rsidR="00780E27">
        <w:rPr>
          <w:rFonts w:ascii="Bookman Old Style" w:hAnsi="Bookman Old Style"/>
          <w:sz w:val="28"/>
          <w:szCs w:val="28"/>
          <w:lang w:val="el-GR"/>
        </w:rPr>
        <w:t>ς</w:t>
      </w:r>
      <w:r w:rsidR="005C0551">
        <w:rPr>
          <w:rFonts w:ascii="Bookman Old Style" w:hAnsi="Bookman Old Style"/>
          <w:sz w:val="28"/>
          <w:szCs w:val="28"/>
          <w:lang w:val="el-GR"/>
        </w:rPr>
        <w:t xml:space="preserve"> και αποζημιώσεις. </w:t>
      </w:r>
    </w:p>
    <w:p w14:paraId="1BD799AB" w14:textId="0B8272C5" w:rsidR="005C0551" w:rsidRDefault="00E46EC6"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Τ</w:t>
      </w:r>
      <w:r w:rsidR="005C0551">
        <w:rPr>
          <w:rFonts w:ascii="Bookman Old Style" w:hAnsi="Bookman Old Style"/>
          <w:sz w:val="28"/>
          <w:szCs w:val="28"/>
          <w:lang w:val="el-GR"/>
        </w:rPr>
        <w:t xml:space="preserve">ο πρωτόδικο Δικαστήριο έκρινε όλους τους μάρτυρες για την Εφεσίβλητη, καθώς επίσης όλους τους μάρτυρες για τον Εφεσείοντα αξιόπιστους, πλην του ίδιου του Εφεσείοντα. Ειδικότερα, έκρινε ότι ο Εφεσείων δεν άφησε θετική εντύπωση και απέρριψε όλες τις πιο πάνω θέσεις του. </w:t>
      </w:r>
      <w:r>
        <w:rPr>
          <w:rFonts w:ascii="Bookman Old Style" w:hAnsi="Bookman Old Style"/>
          <w:sz w:val="28"/>
          <w:szCs w:val="28"/>
          <w:lang w:val="el-GR"/>
        </w:rPr>
        <w:t>Κ</w:t>
      </w:r>
      <w:r w:rsidR="005C0551">
        <w:rPr>
          <w:rFonts w:ascii="Bookman Old Style" w:hAnsi="Bookman Old Style"/>
          <w:sz w:val="28"/>
          <w:szCs w:val="28"/>
          <w:lang w:val="el-GR"/>
        </w:rPr>
        <w:t xml:space="preserve">ατέληξε ότι η συμφωνία </w:t>
      </w:r>
      <w:proofErr w:type="spellStart"/>
      <w:r w:rsidR="005C0551">
        <w:rPr>
          <w:rFonts w:ascii="Bookman Old Style" w:hAnsi="Bookman Old Style"/>
          <w:sz w:val="28"/>
          <w:szCs w:val="28"/>
          <w:lang w:val="el-GR"/>
        </w:rPr>
        <w:t>συνήφθη</w:t>
      </w:r>
      <w:proofErr w:type="spellEnd"/>
      <w:r w:rsidR="005C0551">
        <w:rPr>
          <w:rFonts w:ascii="Bookman Old Style" w:hAnsi="Bookman Old Style"/>
          <w:sz w:val="28"/>
          <w:szCs w:val="28"/>
          <w:lang w:val="el-GR"/>
        </w:rPr>
        <w:t xml:space="preserve"> κατόπιν αίτησης που υπέβαλε ο Εφεσείων στην Εφεσίβλητη</w:t>
      </w:r>
      <w:r w:rsidR="00644DD8">
        <w:rPr>
          <w:rFonts w:ascii="Bookman Old Style" w:hAnsi="Bookman Old Style"/>
          <w:sz w:val="28"/>
          <w:szCs w:val="28"/>
          <w:lang w:val="el-GR"/>
        </w:rPr>
        <w:t>,</w:t>
      </w:r>
      <w:r w:rsidR="005C0551">
        <w:rPr>
          <w:rFonts w:ascii="Bookman Old Style" w:hAnsi="Bookman Old Style"/>
          <w:sz w:val="28"/>
          <w:szCs w:val="28"/>
          <w:lang w:val="el-GR"/>
        </w:rPr>
        <w:t xml:space="preserve"> </w:t>
      </w:r>
      <w:r w:rsidR="00644DD8">
        <w:rPr>
          <w:rFonts w:ascii="Bookman Old Style" w:hAnsi="Bookman Old Style"/>
          <w:sz w:val="28"/>
          <w:szCs w:val="28"/>
          <w:lang w:val="el-GR"/>
        </w:rPr>
        <w:t xml:space="preserve">ήταν προϊόν της ελεύθερης του βούλησης και την οποία </w:t>
      </w:r>
      <w:r w:rsidR="00D46EA2">
        <w:rPr>
          <w:rFonts w:ascii="Bookman Old Style" w:hAnsi="Bookman Old Style"/>
          <w:sz w:val="28"/>
          <w:szCs w:val="28"/>
          <w:lang w:val="el-GR"/>
        </w:rPr>
        <w:t xml:space="preserve">ο Εφεσείων </w:t>
      </w:r>
      <w:r w:rsidR="00644DD8">
        <w:rPr>
          <w:rFonts w:ascii="Bookman Old Style" w:hAnsi="Bookman Old Style"/>
          <w:sz w:val="28"/>
          <w:szCs w:val="28"/>
          <w:lang w:val="el-GR"/>
        </w:rPr>
        <w:t xml:space="preserve">αποδέχθηκε ανεπιφύλακτα κατόπιν μελέτης των όρων αυτής. </w:t>
      </w:r>
      <w:r>
        <w:rPr>
          <w:rFonts w:ascii="Bookman Old Style" w:hAnsi="Bookman Old Style"/>
          <w:sz w:val="28"/>
          <w:szCs w:val="28"/>
          <w:lang w:val="el-GR"/>
        </w:rPr>
        <w:t>Κ</w:t>
      </w:r>
      <w:r w:rsidR="00D46EA2">
        <w:rPr>
          <w:rFonts w:ascii="Bookman Old Style" w:hAnsi="Bookman Old Style"/>
          <w:sz w:val="28"/>
          <w:szCs w:val="28"/>
          <w:lang w:val="el-GR"/>
        </w:rPr>
        <w:t xml:space="preserve">ατέληξε επίσης </w:t>
      </w:r>
      <w:r w:rsidR="00644DD8">
        <w:rPr>
          <w:rFonts w:ascii="Bookman Old Style" w:hAnsi="Bookman Old Style"/>
          <w:sz w:val="28"/>
          <w:szCs w:val="28"/>
          <w:lang w:val="el-GR"/>
        </w:rPr>
        <w:t>ότι η συμφωνία ήταν έγκυρη και δεσμευτική και όχι αποτέλεσμα οποιασδήποτε ψευδούς παράστασης από μέρους της Εφεσίβλητης</w:t>
      </w:r>
      <w:r w:rsidR="00D46EA2">
        <w:rPr>
          <w:rFonts w:ascii="Bookman Old Style" w:hAnsi="Bookman Old Style"/>
          <w:sz w:val="28"/>
          <w:szCs w:val="28"/>
          <w:lang w:val="el-GR"/>
        </w:rPr>
        <w:t xml:space="preserve"> προς τον Εφεσείοντα</w:t>
      </w:r>
      <w:r w:rsidR="00644DD8">
        <w:rPr>
          <w:rFonts w:ascii="Bookman Old Style" w:hAnsi="Bookman Old Style"/>
          <w:sz w:val="28"/>
          <w:szCs w:val="28"/>
          <w:lang w:val="el-GR"/>
        </w:rPr>
        <w:t xml:space="preserve">. </w:t>
      </w:r>
      <w:r w:rsidR="00FB3622">
        <w:rPr>
          <w:rFonts w:ascii="Bookman Old Style" w:hAnsi="Bookman Old Style"/>
          <w:sz w:val="28"/>
          <w:szCs w:val="28"/>
          <w:lang w:val="el-GR"/>
        </w:rPr>
        <w:t xml:space="preserve">Δέχθηκε επίσης ότι ο τερματισμός της συμφωνίας ήταν νόμιμος και ότι </w:t>
      </w:r>
      <w:r w:rsidR="00D46EA2">
        <w:rPr>
          <w:rFonts w:ascii="Bookman Old Style" w:hAnsi="Bookman Old Style"/>
          <w:sz w:val="28"/>
          <w:szCs w:val="28"/>
          <w:lang w:val="el-GR"/>
        </w:rPr>
        <w:t xml:space="preserve">η αναδομημένη κατάσταση, η οποία κατατέθηκε από τους μάρτυρες της Εφεσίβλητης, περιείχε το ορθό </w:t>
      </w:r>
      <w:r w:rsidR="00FB3622">
        <w:rPr>
          <w:rFonts w:ascii="Bookman Old Style" w:hAnsi="Bookman Old Style"/>
          <w:sz w:val="28"/>
          <w:szCs w:val="28"/>
          <w:lang w:val="el-GR"/>
        </w:rPr>
        <w:t>οφειλόμενο ποσ</w:t>
      </w:r>
      <w:r w:rsidR="00D46EA2">
        <w:rPr>
          <w:rFonts w:ascii="Bookman Old Style" w:hAnsi="Bookman Old Style"/>
          <w:sz w:val="28"/>
          <w:szCs w:val="28"/>
          <w:lang w:val="el-GR"/>
        </w:rPr>
        <w:t>ό</w:t>
      </w:r>
      <w:r w:rsidR="00FB3622">
        <w:rPr>
          <w:rFonts w:ascii="Bookman Old Style" w:hAnsi="Bookman Old Style"/>
          <w:sz w:val="28"/>
          <w:szCs w:val="28"/>
          <w:lang w:val="el-GR"/>
        </w:rPr>
        <w:t xml:space="preserve">, </w:t>
      </w:r>
      <w:proofErr w:type="spellStart"/>
      <w:r w:rsidR="00FB3622">
        <w:rPr>
          <w:rFonts w:ascii="Bookman Old Style" w:hAnsi="Bookman Old Style"/>
          <w:sz w:val="28"/>
          <w:szCs w:val="28"/>
          <w:lang w:val="el-GR"/>
        </w:rPr>
        <w:t>εξού</w:t>
      </w:r>
      <w:proofErr w:type="spellEnd"/>
      <w:r w:rsidR="00FB3622">
        <w:rPr>
          <w:rFonts w:ascii="Bookman Old Style" w:hAnsi="Bookman Old Style"/>
          <w:sz w:val="28"/>
          <w:szCs w:val="28"/>
          <w:lang w:val="el-GR"/>
        </w:rPr>
        <w:t xml:space="preserve"> και εξέδωσε την ως άνω απόφαση. </w:t>
      </w:r>
    </w:p>
    <w:p w14:paraId="61204E6E" w14:textId="320DEAB4" w:rsidR="00994F09" w:rsidRDefault="00E46EC6"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FA28C9">
        <w:rPr>
          <w:rFonts w:ascii="Bookman Old Style" w:hAnsi="Bookman Old Style"/>
          <w:sz w:val="28"/>
          <w:szCs w:val="28"/>
          <w:lang w:val="el-GR"/>
        </w:rPr>
        <w:t xml:space="preserve">ανταπαίτηση του </w:t>
      </w:r>
      <w:proofErr w:type="spellStart"/>
      <w:r w:rsidR="00FA28C9">
        <w:rPr>
          <w:rFonts w:ascii="Bookman Old Style" w:hAnsi="Bookman Old Style"/>
          <w:sz w:val="28"/>
          <w:szCs w:val="28"/>
          <w:lang w:val="el-GR"/>
        </w:rPr>
        <w:t>Εφεσείοντ</w:t>
      </w:r>
      <w:r w:rsidR="00910F20">
        <w:rPr>
          <w:rFonts w:ascii="Bookman Old Style" w:hAnsi="Bookman Old Style"/>
          <w:sz w:val="28"/>
          <w:szCs w:val="28"/>
          <w:lang w:val="el-GR"/>
        </w:rPr>
        <w:t>α</w:t>
      </w:r>
      <w:proofErr w:type="spellEnd"/>
      <w:r w:rsidR="00FA28C9">
        <w:rPr>
          <w:rFonts w:ascii="Bookman Old Style" w:hAnsi="Bookman Old Style"/>
          <w:sz w:val="28"/>
          <w:szCs w:val="28"/>
          <w:lang w:val="el-GR"/>
        </w:rPr>
        <w:t xml:space="preserve"> </w:t>
      </w:r>
      <w:proofErr w:type="spellStart"/>
      <w:r w:rsidR="00FA28C9">
        <w:rPr>
          <w:rFonts w:ascii="Bookman Old Style" w:hAnsi="Bookman Old Style"/>
          <w:sz w:val="28"/>
          <w:szCs w:val="28"/>
          <w:lang w:val="el-GR"/>
        </w:rPr>
        <w:t>απερρίφθη</w:t>
      </w:r>
      <w:proofErr w:type="spellEnd"/>
      <w:r w:rsidR="00FA28C9">
        <w:rPr>
          <w:rFonts w:ascii="Bookman Old Style" w:hAnsi="Bookman Old Style"/>
          <w:sz w:val="28"/>
          <w:szCs w:val="28"/>
          <w:lang w:val="el-GR"/>
        </w:rPr>
        <w:t xml:space="preserve">, όμως αυτό το σκέλος της απόφασης δεν αποτελεί αντικείμενο της παρούσας Έφεσης. </w:t>
      </w:r>
    </w:p>
    <w:p w14:paraId="5363DCBF" w14:textId="6E5229F3" w:rsidR="006F709F" w:rsidRDefault="006E01FE"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Με τους επτά λόγους έφεσης αποδίδεται ότι το πρωτόδικο Δικαστήριο εσφαλμένα </w:t>
      </w:r>
      <w:r w:rsidR="004E09CE">
        <w:rPr>
          <w:rFonts w:ascii="Bookman Old Style" w:hAnsi="Bookman Old Style"/>
          <w:sz w:val="28"/>
          <w:szCs w:val="28"/>
          <w:lang w:val="el-GR"/>
        </w:rPr>
        <w:t xml:space="preserve">αξιολόγησε τη μαρτυρία και τις προβαλλόμενες θέσεις του Εφεσείοντα, καταλήγοντας έτσι σε λανθασμένα ευρήματα και νομικά συμπεράσματα. </w:t>
      </w:r>
    </w:p>
    <w:p w14:paraId="1ECED8DA" w14:textId="48EB57F2" w:rsidR="00994F09" w:rsidRDefault="00EB7B0D"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Κρίνουμε ορθό να εξετάσουμε πρώτα τους λόγους έφεσης </w:t>
      </w:r>
      <w:r w:rsidR="00715E79">
        <w:rPr>
          <w:rFonts w:ascii="Bookman Old Style" w:hAnsi="Bookman Old Style"/>
          <w:sz w:val="28"/>
          <w:szCs w:val="28"/>
          <w:lang w:val="el-GR"/>
        </w:rPr>
        <w:t>5</w:t>
      </w:r>
      <w:r>
        <w:rPr>
          <w:rFonts w:ascii="Bookman Old Style" w:hAnsi="Bookman Old Style"/>
          <w:sz w:val="28"/>
          <w:szCs w:val="28"/>
          <w:lang w:val="el-GR"/>
        </w:rPr>
        <w:t xml:space="preserve"> και 7 </w:t>
      </w:r>
      <w:r w:rsidR="00F036D9">
        <w:rPr>
          <w:rFonts w:ascii="Bookman Old Style" w:hAnsi="Bookman Old Style"/>
          <w:sz w:val="28"/>
          <w:szCs w:val="28"/>
          <w:lang w:val="el-GR"/>
        </w:rPr>
        <w:t xml:space="preserve">μαζί καθότι </w:t>
      </w:r>
      <w:r>
        <w:rPr>
          <w:rFonts w:ascii="Bookman Old Style" w:hAnsi="Bookman Old Style"/>
          <w:sz w:val="28"/>
          <w:szCs w:val="28"/>
          <w:lang w:val="el-GR"/>
        </w:rPr>
        <w:t xml:space="preserve">συνδέονται μεταξύ τους και αφορούν στην αξιολόγηση της μαρτυρίας. </w:t>
      </w:r>
    </w:p>
    <w:p w14:paraId="387C6C6C" w14:textId="4122CA31" w:rsidR="00C2232A" w:rsidRPr="00F85E26" w:rsidRDefault="00C2232A" w:rsidP="008F12AD">
      <w:pPr>
        <w:tabs>
          <w:tab w:val="left" w:pos="567"/>
          <w:tab w:val="left" w:pos="709"/>
        </w:tabs>
        <w:spacing w:before="100" w:beforeAutospacing="1"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Έχει επανειλημμένα τονισθεί πως το Εφετείο επεμβαίνει μόνο σε εξαιρετικές περιπτώσεις στον τρόπο αξιολόγησης από το πρωτόδικο Δικαστήριο της αξιοπιστίας των μαρτύρων. Το ακόλουθο απόσπασμα από την </w:t>
      </w:r>
      <w:r w:rsidR="00CF6BEE">
        <w:rPr>
          <w:rFonts w:ascii="Bookman Old Style" w:hAnsi="Bookman Old Style"/>
          <w:sz w:val="28"/>
          <w:szCs w:val="28"/>
          <w:lang w:val="el-GR"/>
        </w:rPr>
        <w:t>απόφα</w:t>
      </w:r>
      <w:r>
        <w:rPr>
          <w:rFonts w:ascii="Bookman Old Style" w:hAnsi="Bookman Old Style"/>
          <w:sz w:val="28"/>
          <w:szCs w:val="28"/>
          <w:lang w:val="el-GR"/>
        </w:rPr>
        <w:t xml:space="preserve">ση </w:t>
      </w:r>
      <w:r w:rsidRPr="001D0A75">
        <w:rPr>
          <w:rFonts w:ascii="Bookman Old Style" w:hAnsi="Bookman Old Style"/>
          <w:b/>
          <w:bCs/>
          <w:i/>
          <w:iCs/>
          <w:sz w:val="28"/>
          <w:szCs w:val="28"/>
          <w:lang w:val="el-GR"/>
        </w:rPr>
        <w:t xml:space="preserve">Εργοληπτική Εταιρεία Αμφιάραος Λτδ </w:t>
      </w:r>
      <w:r w:rsidRPr="001D0A75">
        <w:rPr>
          <w:rFonts w:ascii="Bookman Old Style" w:hAnsi="Bookman Old Style"/>
          <w:b/>
          <w:bCs/>
          <w:i/>
          <w:iCs/>
          <w:sz w:val="28"/>
          <w:szCs w:val="28"/>
          <w:lang w:val="en-GB"/>
        </w:rPr>
        <w:t>v</w:t>
      </w:r>
      <w:r w:rsidRPr="001D0A75">
        <w:rPr>
          <w:rFonts w:ascii="Bookman Old Style" w:hAnsi="Bookman Old Style"/>
          <w:b/>
          <w:bCs/>
          <w:i/>
          <w:iCs/>
          <w:sz w:val="28"/>
          <w:szCs w:val="28"/>
          <w:lang w:val="el-GR"/>
        </w:rPr>
        <w:t xml:space="preserve">. </w:t>
      </w:r>
      <w:proofErr w:type="spellStart"/>
      <w:r w:rsidRPr="001D0A75">
        <w:rPr>
          <w:rFonts w:ascii="Bookman Old Style" w:hAnsi="Bookman Old Style"/>
          <w:b/>
          <w:bCs/>
          <w:i/>
          <w:iCs/>
          <w:sz w:val="28"/>
          <w:szCs w:val="28"/>
          <w:lang w:val="en-GB"/>
        </w:rPr>
        <w:t>Mikeilov</w:t>
      </w:r>
      <w:proofErr w:type="spellEnd"/>
      <w:r w:rsidRPr="001D0A75">
        <w:rPr>
          <w:rFonts w:ascii="Bookman Old Style" w:hAnsi="Bookman Old Style"/>
          <w:b/>
          <w:bCs/>
          <w:i/>
          <w:iCs/>
          <w:sz w:val="28"/>
          <w:szCs w:val="28"/>
          <w:lang w:val="el-GR"/>
        </w:rPr>
        <w:t xml:space="preserve">, Πολ. </w:t>
      </w:r>
      <w:proofErr w:type="spellStart"/>
      <w:r w:rsidRPr="001D0A75">
        <w:rPr>
          <w:rFonts w:ascii="Bookman Old Style" w:hAnsi="Bookman Old Style"/>
          <w:b/>
          <w:bCs/>
          <w:i/>
          <w:iCs/>
          <w:sz w:val="28"/>
          <w:szCs w:val="28"/>
          <w:lang w:val="el-GR"/>
        </w:rPr>
        <w:t>Έφ</w:t>
      </w:r>
      <w:proofErr w:type="spellEnd"/>
      <w:r w:rsidRPr="001D0A75">
        <w:rPr>
          <w:rFonts w:ascii="Bookman Old Style" w:hAnsi="Bookman Old Style"/>
          <w:b/>
          <w:bCs/>
          <w:i/>
          <w:iCs/>
          <w:sz w:val="28"/>
          <w:szCs w:val="28"/>
          <w:lang w:val="el-GR"/>
        </w:rPr>
        <w:t xml:space="preserve">. </w:t>
      </w:r>
      <w:proofErr w:type="spellStart"/>
      <w:r w:rsidRPr="001D0A75">
        <w:rPr>
          <w:rFonts w:ascii="Bookman Old Style" w:hAnsi="Bookman Old Style"/>
          <w:b/>
          <w:bCs/>
          <w:i/>
          <w:iCs/>
          <w:sz w:val="28"/>
          <w:szCs w:val="28"/>
          <w:lang w:val="el-GR"/>
        </w:rPr>
        <w:t>Αρ</w:t>
      </w:r>
      <w:proofErr w:type="spellEnd"/>
      <w:r w:rsidRPr="001D0A75">
        <w:rPr>
          <w:rFonts w:ascii="Bookman Old Style" w:hAnsi="Bookman Old Style"/>
          <w:b/>
          <w:bCs/>
          <w:i/>
          <w:iCs/>
          <w:sz w:val="28"/>
          <w:szCs w:val="28"/>
          <w:lang w:val="el-GR"/>
        </w:rPr>
        <w:t xml:space="preserve">. 173/12, </w:t>
      </w:r>
      <w:proofErr w:type="spellStart"/>
      <w:r w:rsidRPr="001D0A75">
        <w:rPr>
          <w:rFonts w:ascii="Bookman Old Style" w:hAnsi="Bookman Old Style"/>
          <w:b/>
          <w:bCs/>
          <w:i/>
          <w:iCs/>
          <w:sz w:val="28"/>
          <w:szCs w:val="28"/>
          <w:lang w:val="el-GR"/>
        </w:rPr>
        <w:t>ημερ</w:t>
      </w:r>
      <w:proofErr w:type="spellEnd"/>
      <w:r w:rsidRPr="001D0A75">
        <w:rPr>
          <w:rFonts w:ascii="Bookman Old Style" w:hAnsi="Bookman Old Style"/>
          <w:b/>
          <w:bCs/>
          <w:i/>
          <w:iCs/>
          <w:sz w:val="28"/>
          <w:szCs w:val="28"/>
          <w:lang w:val="el-GR"/>
        </w:rPr>
        <w:t>. 28.9.2018</w:t>
      </w:r>
      <w:r>
        <w:rPr>
          <w:rFonts w:ascii="Bookman Old Style" w:hAnsi="Bookman Old Style"/>
          <w:sz w:val="28"/>
          <w:szCs w:val="28"/>
          <w:lang w:val="el-GR"/>
        </w:rPr>
        <w:t>, είναι διαφωτιστικό</w:t>
      </w:r>
      <w:r w:rsidRPr="00F85E26">
        <w:rPr>
          <w:rFonts w:ascii="Bookman Old Style" w:hAnsi="Bookman Old Style"/>
          <w:sz w:val="28"/>
          <w:szCs w:val="28"/>
          <w:lang w:val="el-GR"/>
        </w:rPr>
        <w:t>:</w:t>
      </w:r>
    </w:p>
    <w:p w14:paraId="1858309F" w14:textId="77777777" w:rsidR="00C2232A" w:rsidRPr="00267C43" w:rsidRDefault="00C2232A" w:rsidP="00C2232A">
      <w:pPr>
        <w:spacing w:before="100" w:beforeAutospacing="1" w:after="600" w:line="240" w:lineRule="auto"/>
        <w:ind w:left="567"/>
        <w:jc w:val="both"/>
        <w:rPr>
          <w:rFonts w:ascii="Bookman Old Style" w:hAnsi="Bookman Old Style"/>
          <w:color w:val="000000"/>
          <w:sz w:val="28"/>
          <w:szCs w:val="28"/>
          <w:lang w:val="el-GR"/>
        </w:rPr>
      </w:pPr>
      <w:r w:rsidRPr="00695AD6">
        <w:rPr>
          <w:rFonts w:ascii="Bookman Old Style" w:hAnsi="Bookman Old Style"/>
          <w:color w:val="000000"/>
          <w:sz w:val="28"/>
          <w:szCs w:val="28"/>
          <w:lang w:val="el-GR"/>
        </w:rPr>
        <w:t>«</w:t>
      </w:r>
      <w:r w:rsidRPr="00695AD6">
        <w:rPr>
          <w:rFonts w:ascii="Bookman Old Style" w:hAnsi="Bookman Old Style"/>
          <w:i/>
          <w:iCs/>
          <w:color w:val="000000"/>
          <w:sz w:val="28"/>
          <w:szCs w:val="28"/>
          <w:lang w:val="el-GR"/>
        </w:rPr>
        <w:t xml:space="preserve">Αποτελεί πάγια θέση της νομολογίας ότι ο τρόπος που αξιολογούνται οι μάρτυρες, αποτελεί ένα από τα πρωταρχικά καθήκοντα του πρωτόδικου δικαστηρίου, το οποίο είναι σε πλεονεκτική θέση να παρακολουθεί τους μάρτυρες στη ζωντανή ατμόσφαιρα της </w:t>
      </w:r>
      <w:r>
        <w:rPr>
          <w:rFonts w:ascii="Bookman Old Style" w:hAnsi="Bookman Old Style"/>
          <w:i/>
          <w:iCs/>
          <w:color w:val="000000"/>
          <w:sz w:val="28"/>
          <w:szCs w:val="28"/>
          <w:lang w:val="el-GR"/>
        </w:rPr>
        <w:t>-</w:t>
      </w:r>
      <w:r w:rsidRPr="00695AD6">
        <w:rPr>
          <w:rFonts w:ascii="Bookman Old Style" w:hAnsi="Bookman Old Style"/>
          <w:i/>
          <w:iCs/>
          <w:color w:val="000000"/>
          <w:sz w:val="28"/>
          <w:szCs w:val="28"/>
          <w:lang w:val="el-GR"/>
        </w:rPr>
        <w:t>δικαστικής αίθουσας με όλα τα συνακόλουθα ευεργετήματα (βλ.</w:t>
      </w:r>
      <w:r>
        <w:rPr>
          <w:rFonts w:ascii="Bookman Old Style" w:hAnsi="Bookman Old Style"/>
          <w:i/>
          <w:iCs/>
          <w:color w:val="000000"/>
          <w:sz w:val="28"/>
          <w:szCs w:val="28"/>
          <w:lang w:val="el-GR"/>
        </w:rPr>
        <w:t xml:space="preserve"> </w:t>
      </w:r>
      <w:proofErr w:type="spellStart"/>
      <w:r w:rsidRPr="00061392">
        <w:rPr>
          <w:rFonts w:ascii="Bookman Old Style" w:hAnsi="Bookman Old Style"/>
          <w:b/>
          <w:bCs/>
          <w:i/>
          <w:iCs/>
          <w:color w:val="000000"/>
          <w:sz w:val="28"/>
          <w:szCs w:val="28"/>
          <w:lang w:val="el-GR"/>
        </w:rPr>
        <w:t>Μάρκαρη</w:t>
      </w:r>
      <w:proofErr w:type="spellEnd"/>
      <w:r w:rsidRPr="00061392">
        <w:rPr>
          <w:rFonts w:ascii="Bookman Old Style" w:hAnsi="Bookman Old Style"/>
          <w:b/>
          <w:bCs/>
          <w:i/>
          <w:iCs/>
          <w:color w:val="000000"/>
          <w:sz w:val="28"/>
          <w:szCs w:val="28"/>
          <w:lang w:val="el-GR"/>
        </w:rPr>
        <w:t xml:space="preserve"> ν. Παρασκευά (2012) 1 (Β) ΑΑΔ 1493, </w:t>
      </w:r>
      <w:proofErr w:type="spellStart"/>
      <w:r w:rsidRPr="00061392">
        <w:rPr>
          <w:rFonts w:ascii="Bookman Old Style" w:hAnsi="Bookman Old Style"/>
          <w:b/>
          <w:bCs/>
          <w:i/>
          <w:iCs/>
          <w:color w:val="000000"/>
          <w:sz w:val="28"/>
          <w:szCs w:val="28"/>
          <w:lang w:val="el-GR"/>
        </w:rPr>
        <w:t>Τσιαττές</w:t>
      </w:r>
      <w:proofErr w:type="spellEnd"/>
      <w:r w:rsidRPr="00061392">
        <w:rPr>
          <w:rFonts w:ascii="Bookman Old Style" w:hAnsi="Bookman Old Style"/>
          <w:b/>
          <w:bCs/>
          <w:i/>
          <w:iCs/>
          <w:color w:val="000000"/>
          <w:sz w:val="28"/>
          <w:szCs w:val="28"/>
          <w:lang w:val="el-GR"/>
        </w:rPr>
        <w:t xml:space="preserve"> ν. Κ.</w:t>
      </w:r>
      <w:r>
        <w:rPr>
          <w:rFonts w:ascii="Bookman Old Style" w:hAnsi="Bookman Old Style"/>
          <w:b/>
          <w:bCs/>
          <w:i/>
          <w:iCs/>
          <w:color w:val="000000"/>
          <w:sz w:val="28"/>
          <w:szCs w:val="28"/>
          <w:lang w:val="el-GR"/>
        </w:rPr>
        <w:t xml:space="preserve"> </w:t>
      </w:r>
      <w:proofErr w:type="spellStart"/>
      <w:r w:rsidRPr="00695AD6">
        <w:rPr>
          <w:rFonts w:ascii="Bookman Old Style" w:hAnsi="Bookman Old Style"/>
          <w:b/>
          <w:bCs/>
          <w:i/>
          <w:iCs/>
          <w:color w:val="000000"/>
          <w:sz w:val="28"/>
          <w:szCs w:val="28"/>
        </w:rPr>
        <w:t>Solomonides</w:t>
      </w:r>
      <w:proofErr w:type="spellEnd"/>
      <w:r>
        <w:rPr>
          <w:rFonts w:ascii="Bookman Old Style" w:hAnsi="Bookman Old Style"/>
          <w:b/>
          <w:bCs/>
          <w:i/>
          <w:iCs/>
          <w:color w:val="000000"/>
          <w:sz w:val="28"/>
          <w:szCs w:val="28"/>
          <w:lang w:val="el-GR"/>
        </w:rPr>
        <w:t xml:space="preserve"> </w:t>
      </w:r>
      <w:r w:rsidRPr="00061392">
        <w:rPr>
          <w:rFonts w:ascii="Bookman Old Style" w:hAnsi="Bookman Old Style"/>
          <w:b/>
          <w:bCs/>
          <w:i/>
          <w:iCs/>
          <w:color w:val="000000"/>
          <w:sz w:val="28"/>
          <w:szCs w:val="28"/>
          <w:lang w:val="el-GR"/>
        </w:rPr>
        <w:t>(</w:t>
      </w:r>
      <w:r w:rsidRPr="00695AD6">
        <w:rPr>
          <w:rFonts w:ascii="Bookman Old Style" w:hAnsi="Bookman Old Style"/>
          <w:b/>
          <w:bCs/>
          <w:i/>
          <w:iCs/>
          <w:color w:val="000000"/>
          <w:sz w:val="28"/>
          <w:szCs w:val="28"/>
        </w:rPr>
        <w:t>Cartridges</w:t>
      </w:r>
      <w:r>
        <w:rPr>
          <w:rFonts w:ascii="Bookman Old Style" w:hAnsi="Bookman Old Style"/>
          <w:b/>
          <w:bCs/>
          <w:i/>
          <w:iCs/>
          <w:color w:val="000000"/>
          <w:sz w:val="28"/>
          <w:szCs w:val="28"/>
          <w:lang w:val="el-GR"/>
        </w:rPr>
        <w:t xml:space="preserve"> </w:t>
      </w:r>
      <w:r w:rsidRPr="00695AD6">
        <w:rPr>
          <w:rFonts w:ascii="Bookman Old Style" w:hAnsi="Bookman Old Style"/>
          <w:b/>
          <w:bCs/>
          <w:i/>
          <w:iCs/>
          <w:color w:val="000000"/>
          <w:sz w:val="28"/>
          <w:szCs w:val="28"/>
        </w:rPr>
        <w:t>Industries</w:t>
      </w:r>
      <w:r w:rsidRPr="00061392">
        <w:rPr>
          <w:rFonts w:ascii="Bookman Old Style" w:hAnsi="Bookman Old Style"/>
          <w:b/>
          <w:bCs/>
          <w:i/>
          <w:iCs/>
          <w:color w:val="000000"/>
          <w:sz w:val="28"/>
          <w:szCs w:val="28"/>
          <w:lang w:val="el-GR"/>
        </w:rPr>
        <w:t>)</w:t>
      </w:r>
      <w:r>
        <w:rPr>
          <w:rFonts w:ascii="Bookman Old Style" w:hAnsi="Bookman Old Style"/>
          <w:b/>
          <w:bCs/>
          <w:i/>
          <w:iCs/>
          <w:color w:val="000000"/>
          <w:sz w:val="28"/>
          <w:szCs w:val="28"/>
          <w:lang w:val="el-GR"/>
        </w:rPr>
        <w:t xml:space="preserve"> </w:t>
      </w:r>
      <w:r w:rsidRPr="00695AD6">
        <w:rPr>
          <w:rFonts w:ascii="Bookman Old Style" w:hAnsi="Bookman Old Style"/>
          <w:b/>
          <w:bCs/>
          <w:i/>
          <w:iCs/>
          <w:color w:val="000000"/>
          <w:sz w:val="28"/>
          <w:szCs w:val="28"/>
        </w:rPr>
        <w:t>Ltd</w:t>
      </w:r>
      <w:r>
        <w:rPr>
          <w:rFonts w:ascii="Bookman Old Style" w:hAnsi="Bookman Old Style"/>
          <w:b/>
          <w:bCs/>
          <w:i/>
          <w:iCs/>
          <w:color w:val="000000"/>
          <w:sz w:val="28"/>
          <w:szCs w:val="28"/>
          <w:lang w:val="el-GR"/>
        </w:rPr>
        <w:t xml:space="preserve"> </w:t>
      </w:r>
      <w:r w:rsidRPr="00061392">
        <w:rPr>
          <w:rFonts w:ascii="Bookman Old Style" w:hAnsi="Bookman Old Style"/>
          <w:b/>
          <w:bCs/>
          <w:i/>
          <w:iCs/>
          <w:color w:val="000000"/>
          <w:sz w:val="28"/>
          <w:szCs w:val="28"/>
          <w:lang w:val="el-GR"/>
        </w:rPr>
        <w:t>(2009) 1</w:t>
      </w:r>
      <w:r w:rsidRPr="00695AD6">
        <w:rPr>
          <w:rFonts w:ascii="Bookman Old Style" w:hAnsi="Bookman Old Style"/>
          <w:b/>
          <w:bCs/>
          <w:i/>
          <w:iCs/>
          <w:color w:val="000000"/>
          <w:sz w:val="28"/>
          <w:szCs w:val="28"/>
        </w:rPr>
        <w:t>B</w:t>
      </w:r>
      <w:r>
        <w:rPr>
          <w:rFonts w:ascii="Bookman Old Style" w:hAnsi="Bookman Old Style"/>
          <w:b/>
          <w:bCs/>
          <w:i/>
          <w:iCs/>
          <w:color w:val="000000"/>
          <w:sz w:val="28"/>
          <w:szCs w:val="28"/>
          <w:lang w:val="el-GR"/>
        </w:rPr>
        <w:t xml:space="preserve"> </w:t>
      </w:r>
      <w:r w:rsidRPr="00061392">
        <w:rPr>
          <w:rFonts w:ascii="Bookman Old Style" w:hAnsi="Bookman Old Style"/>
          <w:b/>
          <w:bCs/>
          <w:i/>
          <w:iCs/>
          <w:color w:val="000000"/>
          <w:sz w:val="28"/>
          <w:szCs w:val="28"/>
          <w:lang w:val="el-GR"/>
        </w:rPr>
        <w:t>ΑΑΔ 974</w:t>
      </w:r>
      <w:r>
        <w:rPr>
          <w:rFonts w:ascii="Bookman Old Style" w:hAnsi="Bookman Old Style"/>
          <w:b/>
          <w:bCs/>
          <w:i/>
          <w:iCs/>
          <w:color w:val="000000"/>
          <w:sz w:val="28"/>
          <w:szCs w:val="28"/>
          <w:lang w:val="el-GR"/>
        </w:rPr>
        <w:t xml:space="preserve"> </w:t>
      </w:r>
      <w:r w:rsidRPr="00061392">
        <w:rPr>
          <w:rFonts w:ascii="Bookman Old Style" w:hAnsi="Bookman Old Style"/>
          <w:i/>
          <w:iCs/>
          <w:color w:val="000000"/>
          <w:sz w:val="28"/>
          <w:szCs w:val="28"/>
          <w:lang w:val="el-GR"/>
        </w:rPr>
        <w:t>και</w:t>
      </w:r>
      <w:r>
        <w:rPr>
          <w:rFonts w:ascii="Bookman Old Style" w:hAnsi="Bookman Old Style"/>
          <w:i/>
          <w:iCs/>
          <w:color w:val="000000"/>
          <w:sz w:val="28"/>
          <w:szCs w:val="28"/>
          <w:lang w:val="el-GR"/>
        </w:rPr>
        <w:t xml:space="preserve"> </w:t>
      </w:r>
      <w:r w:rsidRPr="00061392">
        <w:rPr>
          <w:rFonts w:ascii="Bookman Old Style" w:hAnsi="Bookman Old Style"/>
          <w:b/>
          <w:bCs/>
          <w:i/>
          <w:iCs/>
          <w:color w:val="000000"/>
          <w:sz w:val="28"/>
          <w:szCs w:val="28"/>
          <w:lang w:val="el-GR"/>
        </w:rPr>
        <w:t xml:space="preserve">Γρηγόρης Ιωαννίδης ν. Γεώργιου Χαραλαμπίδη, Πολ. </w:t>
      </w:r>
      <w:proofErr w:type="spellStart"/>
      <w:r w:rsidRPr="00061392">
        <w:rPr>
          <w:rFonts w:ascii="Bookman Old Style" w:hAnsi="Bookman Old Style"/>
          <w:b/>
          <w:bCs/>
          <w:i/>
          <w:iCs/>
          <w:color w:val="000000"/>
          <w:sz w:val="28"/>
          <w:szCs w:val="28"/>
          <w:lang w:val="el-GR"/>
        </w:rPr>
        <w:t>Εφ</w:t>
      </w:r>
      <w:proofErr w:type="spellEnd"/>
      <w:r w:rsidRPr="00061392">
        <w:rPr>
          <w:rFonts w:ascii="Bookman Old Style" w:hAnsi="Bookman Old Style"/>
          <w:b/>
          <w:bCs/>
          <w:i/>
          <w:iCs/>
          <w:color w:val="000000"/>
          <w:sz w:val="28"/>
          <w:szCs w:val="28"/>
          <w:lang w:val="el-GR"/>
        </w:rPr>
        <w:t xml:space="preserve">. 336/2012, </w:t>
      </w:r>
      <w:proofErr w:type="spellStart"/>
      <w:r w:rsidRPr="00061392">
        <w:rPr>
          <w:rFonts w:ascii="Bookman Old Style" w:hAnsi="Bookman Old Style"/>
          <w:b/>
          <w:bCs/>
          <w:i/>
          <w:iCs/>
          <w:color w:val="000000"/>
          <w:sz w:val="28"/>
          <w:szCs w:val="28"/>
          <w:lang w:val="el-GR"/>
        </w:rPr>
        <w:t>ημ</w:t>
      </w:r>
      <w:proofErr w:type="spellEnd"/>
      <w:r w:rsidRPr="00061392">
        <w:rPr>
          <w:rFonts w:ascii="Bookman Old Style" w:hAnsi="Bookman Old Style"/>
          <w:b/>
          <w:bCs/>
          <w:i/>
          <w:iCs/>
          <w:color w:val="000000"/>
          <w:sz w:val="28"/>
          <w:szCs w:val="28"/>
          <w:lang w:val="el-GR"/>
        </w:rPr>
        <w:t>. 10/7/2018</w:t>
      </w:r>
      <w:r w:rsidRPr="00061392">
        <w:rPr>
          <w:rFonts w:ascii="Bookman Old Style" w:hAnsi="Bookman Old Style"/>
          <w:i/>
          <w:iCs/>
          <w:color w:val="000000"/>
          <w:sz w:val="28"/>
          <w:szCs w:val="28"/>
          <w:lang w:val="el-GR"/>
        </w:rPr>
        <w:t>).</w:t>
      </w:r>
      <w:r w:rsidRPr="00695AD6">
        <w:rPr>
          <w:rFonts w:ascii="Bookman Old Style" w:hAnsi="Bookman Old Style"/>
          <w:i/>
          <w:iCs/>
          <w:color w:val="000000"/>
          <w:sz w:val="28"/>
          <w:szCs w:val="28"/>
          <w:lang w:val="el-GR"/>
        </w:rPr>
        <w:t>Το Εφετείο επεμβαίνει μόνο σε εξαιρετικές περιπτώσεις στον τρόπο που το δικαστήριο αξιολογεί την αξιοπιστία των μαρτύρων (βλ.</w:t>
      </w:r>
      <w:r>
        <w:rPr>
          <w:rFonts w:ascii="Bookman Old Style" w:hAnsi="Bookman Old Style"/>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Πίτσιλλος</w:t>
      </w:r>
      <w:proofErr w:type="spellEnd"/>
      <w:r w:rsidRPr="00695AD6">
        <w:rPr>
          <w:rFonts w:ascii="Bookman Old Style" w:hAnsi="Bookman Old Style"/>
          <w:b/>
          <w:bCs/>
          <w:i/>
          <w:iCs/>
          <w:color w:val="000000"/>
          <w:sz w:val="28"/>
          <w:szCs w:val="28"/>
          <w:lang w:val="el-GR"/>
        </w:rPr>
        <w:t xml:space="preserve"> ν. Ευγενίου (1989) 1</w:t>
      </w:r>
      <w:r w:rsidRPr="00695AD6">
        <w:rPr>
          <w:rFonts w:ascii="Bookman Old Style" w:hAnsi="Bookman Old Style"/>
          <w:b/>
          <w:bCs/>
          <w:i/>
          <w:iCs/>
          <w:color w:val="000000"/>
          <w:sz w:val="28"/>
          <w:szCs w:val="28"/>
        </w:rPr>
        <w:t>E</w:t>
      </w:r>
      <w:r>
        <w:rPr>
          <w:rFonts w:ascii="Bookman Old Style" w:hAnsi="Bookman Old Style"/>
          <w:b/>
          <w:bCs/>
          <w:i/>
          <w:iCs/>
          <w:color w:val="000000"/>
          <w:sz w:val="28"/>
          <w:szCs w:val="28"/>
          <w:lang w:val="el-GR"/>
        </w:rPr>
        <w:t xml:space="preserve"> </w:t>
      </w:r>
      <w:r w:rsidRPr="00695AD6">
        <w:rPr>
          <w:rFonts w:ascii="Bookman Old Style" w:hAnsi="Bookman Old Style"/>
          <w:b/>
          <w:bCs/>
          <w:i/>
          <w:iCs/>
          <w:color w:val="000000"/>
          <w:sz w:val="28"/>
          <w:szCs w:val="28"/>
          <w:lang w:val="el-GR"/>
        </w:rPr>
        <w:t>ΑΑΔ 691</w:t>
      </w:r>
      <w:r>
        <w:rPr>
          <w:rFonts w:ascii="Bookman Old Style" w:hAnsi="Bookman Old Style"/>
          <w:b/>
          <w:bCs/>
          <w:i/>
          <w:iCs/>
          <w:color w:val="000000"/>
          <w:sz w:val="28"/>
          <w:szCs w:val="28"/>
          <w:lang w:val="el-GR"/>
        </w:rPr>
        <w:t xml:space="preserve"> </w:t>
      </w:r>
      <w:r w:rsidRPr="00695AD6">
        <w:rPr>
          <w:rFonts w:ascii="Bookman Old Style" w:hAnsi="Bookman Old Style"/>
          <w:i/>
          <w:iCs/>
          <w:color w:val="000000"/>
          <w:sz w:val="28"/>
          <w:szCs w:val="28"/>
          <w:lang w:val="el-GR"/>
        </w:rPr>
        <w:t>και</w:t>
      </w:r>
      <w:r>
        <w:rPr>
          <w:rFonts w:ascii="Bookman Old Style" w:hAnsi="Bookman Old Style"/>
          <w:i/>
          <w:iCs/>
          <w:color w:val="000000"/>
          <w:sz w:val="28"/>
          <w:szCs w:val="28"/>
          <w:lang w:val="el-GR"/>
        </w:rPr>
        <w:t xml:space="preserve"> </w:t>
      </w:r>
      <w:r w:rsidRPr="00695AD6">
        <w:rPr>
          <w:rFonts w:ascii="Bookman Old Style" w:hAnsi="Bookman Old Style"/>
          <w:b/>
          <w:bCs/>
          <w:i/>
          <w:iCs/>
          <w:color w:val="000000"/>
          <w:sz w:val="28"/>
          <w:szCs w:val="28"/>
          <w:lang w:val="el-GR"/>
        </w:rPr>
        <w:t xml:space="preserve">Γεώργιος &amp; Σπύρος </w:t>
      </w:r>
      <w:proofErr w:type="spellStart"/>
      <w:r w:rsidRPr="00695AD6">
        <w:rPr>
          <w:rFonts w:ascii="Bookman Old Style" w:hAnsi="Bookman Old Style"/>
          <w:b/>
          <w:bCs/>
          <w:i/>
          <w:iCs/>
          <w:color w:val="000000"/>
          <w:sz w:val="28"/>
          <w:szCs w:val="28"/>
          <w:lang w:val="el-GR"/>
        </w:rPr>
        <w:t>Τσαππή</w:t>
      </w:r>
      <w:proofErr w:type="spellEnd"/>
      <w:r w:rsidRPr="00695AD6">
        <w:rPr>
          <w:rFonts w:ascii="Bookman Old Style" w:hAnsi="Bookman Old Style"/>
          <w:b/>
          <w:bCs/>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Λτδ</w:t>
      </w:r>
      <w:proofErr w:type="spellEnd"/>
      <w:r w:rsidRPr="00695AD6">
        <w:rPr>
          <w:rFonts w:ascii="Bookman Old Style" w:hAnsi="Bookman Old Style"/>
          <w:b/>
          <w:bCs/>
          <w:i/>
          <w:iCs/>
          <w:color w:val="000000"/>
          <w:sz w:val="28"/>
          <w:szCs w:val="28"/>
          <w:lang w:val="el-GR"/>
        </w:rPr>
        <w:t xml:space="preserve"> ν. Πολυβίου (2009) 1</w:t>
      </w:r>
      <w:r w:rsidRPr="00695AD6">
        <w:rPr>
          <w:rFonts w:ascii="Bookman Old Style" w:hAnsi="Bookman Old Style"/>
          <w:b/>
          <w:bCs/>
          <w:i/>
          <w:iCs/>
          <w:color w:val="000000"/>
          <w:sz w:val="28"/>
          <w:szCs w:val="28"/>
        </w:rPr>
        <w:t>A </w:t>
      </w:r>
      <w:r w:rsidRPr="00695AD6">
        <w:rPr>
          <w:rFonts w:ascii="Bookman Old Style" w:hAnsi="Bookman Old Style"/>
          <w:b/>
          <w:bCs/>
          <w:i/>
          <w:iCs/>
          <w:color w:val="000000"/>
          <w:sz w:val="28"/>
          <w:szCs w:val="28"/>
          <w:lang w:val="el-GR"/>
        </w:rPr>
        <w:t>ΑΑΔ 339</w:t>
      </w:r>
      <w:r w:rsidRPr="00061392">
        <w:rPr>
          <w:rFonts w:ascii="Bookman Old Style" w:hAnsi="Bookman Old Style"/>
          <w:i/>
          <w:iCs/>
          <w:color w:val="000000"/>
          <w:sz w:val="28"/>
          <w:szCs w:val="28"/>
          <w:lang w:val="el-GR"/>
        </w:rPr>
        <w:t>).</w:t>
      </w:r>
      <w:r>
        <w:rPr>
          <w:rFonts w:ascii="Bookman Old Style" w:hAnsi="Bookman Old Style"/>
          <w:b/>
          <w:bCs/>
          <w:i/>
          <w:iCs/>
          <w:color w:val="000000"/>
          <w:sz w:val="28"/>
          <w:szCs w:val="28"/>
          <w:lang w:val="el-GR"/>
        </w:rPr>
        <w:t xml:space="preserve"> </w:t>
      </w:r>
      <w:r w:rsidRPr="00695AD6">
        <w:rPr>
          <w:rFonts w:ascii="Bookman Old Style" w:hAnsi="Bookman Old Style"/>
          <w:i/>
          <w:iCs/>
          <w:color w:val="000000"/>
          <w:sz w:val="28"/>
          <w:szCs w:val="28"/>
          <w:lang w:val="el-GR"/>
        </w:rPr>
        <w:t xml:space="preserve">Αυτό γίνεται όταν το Δικαστήριο διαπιστώσει ότι τα </w:t>
      </w:r>
      <w:r w:rsidRPr="00695AD6">
        <w:rPr>
          <w:rFonts w:ascii="Bookman Old Style" w:hAnsi="Bookman Old Style"/>
          <w:i/>
          <w:iCs/>
          <w:color w:val="000000"/>
          <w:sz w:val="28"/>
          <w:szCs w:val="28"/>
          <w:lang w:val="el-GR"/>
        </w:rPr>
        <w:lastRenderedPageBreak/>
        <w:t>συμπεράσματα του πρωτόδικου δικαστηρίου για την αξιοπι</w:t>
      </w:r>
      <w:r>
        <w:rPr>
          <w:rFonts w:ascii="Bookman Old Style" w:hAnsi="Bookman Old Style"/>
          <w:i/>
          <w:iCs/>
          <w:color w:val="000000"/>
          <w:sz w:val="28"/>
          <w:szCs w:val="28"/>
          <w:lang w:val="el-GR"/>
        </w:rPr>
        <w:t>σ</w:t>
      </w:r>
      <w:r w:rsidRPr="00695AD6">
        <w:rPr>
          <w:rFonts w:ascii="Bookman Old Style" w:hAnsi="Bookman Old Style"/>
          <w:i/>
          <w:iCs/>
          <w:color w:val="000000"/>
          <w:sz w:val="28"/>
          <w:szCs w:val="28"/>
          <w:lang w:val="el-GR"/>
        </w:rPr>
        <w:t xml:space="preserve">τία των μαρτύρων, αντικειμενικά κρίνοντας, δεν </w:t>
      </w:r>
      <w:r>
        <w:rPr>
          <w:rFonts w:ascii="Bookman Old Style" w:hAnsi="Bookman Old Style"/>
          <w:i/>
          <w:iCs/>
          <w:color w:val="000000"/>
          <w:sz w:val="28"/>
          <w:szCs w:val="28"/>
          <w:lang w:val="el-GR"/>
        </w:rPr>
        <w:t xml:space="preserve">είναι </w:t>
      </w:r>
      <w:r w:rsidRPr="00695AD6">
        <w:rPr>
          <w:rFonts w:ascii="Bookman Old Style" w:hAnsi="Bookman Old Style"/>
          <w:i/>
          <w:iCs/>
          <w:color w:val="000000"/>
          <w:sz w:val="28"/>
          <w:szCs w:val="28"/>
          <w:lang w:val="el-GR"/>
        </w:rPr>
        <w:t>ευλόγως επιτρεπτά, αντιστρατεύονται την κοινή λογική, δεν δικαιολογούνται από τη μαρτυρία, είναι εξ αντικειμένου ανυπόστατα ή όταν διαπιστώνονται αντιφάσεις ουσιαστικής μορφής. (βλ.</w:t>
      </w:r>
      <w:r>
        <w:rPr>
          <w:rFonts w:ascii="Bookman Old Style" w:hAnsi="Bookman Old Style"/>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Γιάλλουρος</w:t>
      </w:r>
      <w:proofErr w:type="spellEnd"/>
      <w:r w:rsidRPr="00695AD6">
        <w:rPr>
          <w:rFonts w:ascii="Bookman Old Style" w:hAnsi="Bookman Old Style"/>
          <w:b/>
          <w:bCs/>
          <w:i/>
          <w:iCs/>
          <w:color w:val="000000"/>
          <w:sz w:val="28"/>
          <w:szCs w:val="28"/>
          <w:lang w:val="el-GR"/>
        </w:rPr>
        <w:t xml:space="preserve"> ν. Ψύλλου (2009) 1 ΑΑΔ 1552</w:t>
      </w:r>
      <w:r>
        <w:rPr>
          <w:rFonts w:ascii="Bookman Old Style" w:hAnsi="Bookman Old Style"/>
          <w:b/>
          <w:bCs/>
          <w:i/>
          <w:iCs/>
          <w:color w:val="000000"/>
          <w:sz w:val="28"/>
          <w:szCs w:val="28"/>
          <w:lang w:val="el-GR"/>
        </w:rPr>
        <w:t xml:space="preserve"> </w:t>
      </w:r>
      <w:r w:rsidRPr="00695AD6">
        <w:rPr>
          <w:rFonts w:ascii="Bookman Old Style" w:hAnsi="Bookman Old Style"/>
          <w:i/>
          <w:iCs/>
          <w:color w:val="000000"/>
          <w:sz w:val="28"/>
          <w:szCs w:val="28"/>
          <w:lang w:val="el-GR"/>
        </w:rPr>
        <w:t>και</w:t>
      </w:r>
      <w:r>
        <w:rPr>
          <w:rFonts w:ascii="Bookman Old Style" w:hAnsi="Bookman Old Style"/>
          <w:i/>
          <w:iCs/>
          <w:color w:val="000000"/>
          <w:sz w:val="28"/>
          <w:szCs w:val="28"/>
          <w:lang w:val="el-GR"/>
        </w:rPr>
        <w:t xml:space="preserve"> </w:t>
      </w:r>
      <w:r w:rsidRPr="00695AD6">
        <w:rPr>
          <w:rFonts w:ascii="Bookman Old Style" w:hAnsi="Bookman Old Style"/>
          <w:b/>
          <w:bCs/>
          <w:i/>
          <w:iCs/>
          <w:color w:val="000000"/>
          <w:sz w:val="28"/>
          <w:szCs w:val="28"/>
          <w:lang w:val="el-GR"/>
        </w:rPr>
        <w:t xml:space="preserve">Δήμος Παπαδόπουλος ν. Σωτήρη Παναγιώτου </w:t>
      </w:r>
      <w:proofErr w:type="spellStart"/>
      <w:r w:rsidRPr="00695AD6">
        <w:rPr>
          <w:rFonts w:ascii="Bookman Old Style" w:hAnsi="Bookman Old Style"/>
          <w:b/>
          <w:bCs/>
          <w:i/>
          <w:iCs/>
          <w:color w:val="000000"/>
          <w:sz w:val="28"/>
          <w:szCs w:val="28"/>
          <w:lang w:val="el-GR"/>
        </w:rPr>
        <w:t>Κο</w:t>
      </w:r>
      <w:proofErr w:type="spellEnd"/>
      <w:r w:rsidRPr="00695AD6">
        <w:rPr>
          <w:rFonts w:ascii="Bookman Old Style" w:hAnsi="Bookman Old Style"/>
          <w:b/>
          <w:bCs/>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Λίμιτεδ</w:t>
      </w:r>
      <w:proofErr w:type="spellEnd"/>
      <w:r w:rsidRPr="00695AD6">
        <w:rPr>
          <w:rFonts w:ascii="Bookman Old Style" w:hAnsi="Bookman Old Style"/>
          <w:b/>
          <w:bCs/>
          <w:i/>
          <w:iCs/>
          <w:color w:val="000000"/>
          <w:sz w:val="28"/>
          <w:szCs w:val="28"/>
          <w:lang w:val="el-GR"/>
        </w:rPr>
        <w:t xml:space="preserve">, Πολ. </w:t>
      </w:r>
      <w:proofErr w:type="spellStart"/>
      <w:r w:rsidRPr="00695AD6">
        <w:rPr>
          <w:rFonts w:ascii="Bookman Old Style" w:hAnsi="Bookman Old Style"/>
          <w:b/>
          <w:bCs/>
          <w:i/>
          <w:iCs/>
          <w:color w:val="000000"/>
          <w:sz w:val="28"/>
          <w:szCs w:val="28"/>
          <w:lang w:val="el-GR"/>
        </w:rPr>
        <w:t>Έφ</w:t>
      </w:r>
      <w:proofErr w:type="spellEnd"/>
      <w:r w:rsidRPr="00695AD6">
        <w:rPr>
          <w:rFonts w:ascii="Bookman Old Style" w:hAnsi="Bookman Old Style"/>
          <w:b/>
          <w:bCs/>
          <w:i/>
          <w:iCs/>
          <w:color w:val="000000"/>
          <w:sz w:val="28"/>
          <w:szCs w:val="28"/>
          <w:lang w:val="el-GR"/>
        </w:rPr>
        <w:t xml:space="preserve">. 399/11, </w:t>
      </w:r>
      <w:proofErr w:type="spellStart"/>
      <w:r w:rsidRPr="00695AD6">
        <w:rPr>
          <w:rFonts w:ascii="Bookman Old Style" w:hAnsi="Bookman Old Style"/>
          <w:b/>
          <w:bCs/>
          <w:i/>
          <w:iCs/>
          <w:color w:val="000000"/>
          <w:sz w:val="28"/>
          <w:szCs w:val="28"/>
          <w:lang w:val="el-GR"/>
        </w:rPr>
        <w:t>ημ</w:t>
      </w:r>
      <w:proofErr w:type="spellEnd"/>
      <w:r w:rsidRPr="00695AD6">
        <w:rPr>
          <w:rFonts w:ascii="Bookman Old Style" w:hAnsi="Bookman Old Style"/>
          <w:b/>
          <w:bCs/>
          <w:i/>
          <w:iCs/>
          <w:color w:val="000000"/>
          <w:sz w:val="28"/>
          <w:szCs w:val="28"/>
          <w:lang w:val="el-GR"/>
        </w:rPr>
        <w:t>. 15/11/17).</w:t>
      </w:r>
      <w:r w:rsidRPr="00695AD6">
        <w:rPr>
          <w:rFonts w:ascii="Bookman Old Style" w:hAnsi="Bookman Old Style"/>
          <w:color w:val="000000"/>
          <w:sz w:val="28"/>
          <w:szCs w:val="28"/>
          <w:lang w:val="el-GR"/>
        </w:rPr>
        <w:t>»</w:t>
      </w:r>
    </w:p>
    <w:p w14:paraId="1A689081" w14:textId="47CC10CC" w:rsidR="00C2232A" w:rsidRPr="00C2232A" w:rsidRDefault="00C2232A" w:rsidP="008F12AD">
      <w:pPr>
        <w:spacing w:before="100" w:beforeAutospacing="1" w:after="100" w:afterAutospacing="1" w:line="480" w:lineRule="auto"/>
        <w:ind w:firstLine="567"/>
        <w:jc w:val="both"/>
        <w:rPr>
          <w:rFonts w:ascii="Bookman Old Style" w:hAnsi="Bookman Old Style"/>
          <w:b/>
          <w:bCs/>
          <w:sz w:val="28"/>
          <w:szCs w:val="28"/>
          <w:lang w:val="el-GR"/>
        </w:rPr>
      </w:pPr>
      <w:r>
        <w:rPr>
          <w:rFonts w:ascii="Bookman Old Style" w:hAnsi="Bookman Old Style"/>
          <w:color w:val="000000"/>
          <w:sz w:val="28"/>
          <w:szCs w:val="28"/>
          <w:lang w:val="el-GR"/>
        </w:rPr>
        <w:t xml:space="preserve">Οι ίδιες αρχές υιοθετήθηκαν στην πιο πρόσφατη </w:t>
      </w:r>
      <w:r w:rsidR="00CF6BEE">
        <w:rPr>
          <w:rFonts w:ascii="Bookman Old Style" w:hAnsi="Bookman Old Style"/>
          <w:color w:val="000000"/>
          <w:sz w:val="28"/>
          <w:szCs w:val="28"/>
          <w:lang w:val="el-GR"/>
        </w:rPr>
        <w:t xml:space="preserve">απόφαση </w:t>
      </w:r>
      <w:r w:rsidRPr="001D0A75">
        <w:rPr>
          <w:rFonts w:ascii="Bookman Old Style" w:hAnsi="Bookman Old Style"/>
          <w:b/>
          <w:bCs/>
          <w:i/>
          <w:iCs/>
          <w:sz w:val="28"/>
          <w:szCs w:val="28"/>
        </w:rPr>
        <w:t>S</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K</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Master</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Developments</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Ltd</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v</w:t>
      </w:r>
      <w:r w:rsidRPr="001D0A75">
        <w:rPr>
          <w:rFonts w:ascii="Bookman Old Style" w:hAnsi="Bookman Old Style"/>
          <w:b/>
          <w:bCs/>
          <w:i/>
          <w:iCs/>
          <w:sz w:val="28"/>
          <w:szCs w:val="28"/>
          <w:lang w:val="el-GR"/>
        </w:rPr>
        <w:t xml:space="preserve">. Κυρατζή κ.ά., Πολ. </w:t>
      </w:r>
      <w:proofErr w:type="spellStart"/>
      <w:r w:rsidRPr="001D0A75">
        <w:rPr>
          <w:rFonts w:ascii="Bookman Old Style" w:hAnsi="Bookman Old Style"/>
          <w:b/>
          <w:bCs/>
          <w:i/>
          <w:iCs/>
          <w:sz w:val="28"/>
          <w:szCs w:val="28"/>
          <w:lang w:val="el-GR"/>
        </w:rPr>
        <w:t>Έφ</w:t>
      </w:r>
      <w:proofErr w:type="spellEnd"/>
      <w:r w:rsidRPr="001D0A75">
        <w:rPr>
          <w:rFonts w:ascii="Bookman Old Style" w:hAnsi="Bookman Old Style"/>
          <w:b/>
          <w:bCs/>
          <w:i/>
          <w:iCs/>
          <w:sz w:val="28"/>
          <w:szCs w:val="28"/>
          <w:lang w:val="el-GR"/>
        </w:rPr>
        <w:t xml:space="preserve">. </w:t>
      </w:r>
      <w:proofErr w:type="spellStart"/>
      <w:r w:rsidRPr="001D0A75">
        <w:rPr>
          <w:rFonts w:ascii="Bookman Old Style" w:hAnsi="Bookman Old Style"/>
          <w:b/>
          <w:bCs/>
          <w:i/>
          <w:iCs/>
          <w:sz w:val="28"/>
          <w:szCs w:val="28"/>
          <w:lang w:val="el-GR"/>
        </w:rPr>
        <w:t>Αρ</w:t>
      </w:r>
      <w:proofErr w:type="spellEnd"/>
      <w:r w:rsidRPr="001D0A75">
        <w:rPr>
          <w:rFonts w:ascii="Bookman Old Style" w:hAnsi="Bookman Old Style"/>
          <w:b/>
          <w:bCs/>
          <w:i/>
          <w:iCs/>
          <w:sz w:val="28"/>
          <w:szCs w:val="28"/>
          <w:lang w:val="el-GR"/>
        </w:rPr>
        <w:t xml:space="preserve">. 49/15, </w:t>
      </w:r>
      <w:proofErr w:type="spellStart"/>
      <w:r w:rsidRPr="001D0A75">
        <w:rPr>
          <w:rFonts w:ascii="Bookman Old Style" w:hAnsi="Bookman Old Style"/>
          <w:b/>
          <w:bCs/>
          <w:i/>
          <w:iCs/>
          <w:sz w:val="28"/>
          <w:szCs w:val="28"/>
          <w:lang w:val="el-GR"/>
        </w:rPr>
        <w:t>ημερ</w:t>
      </w:r>
      <w:proofErr w:type="spellEnd"/>
      <w:r w:rsidRPr="001D0A75">
        <w:rPr>
          <w:rFonts w:ascii="Bookman Old Style" w:hAnsi="Bookman Old Style"/>
          <w:b/>
          <w:bCs/>
          <w:i/>
          <w:iCs/>
          <w:sz w:val="28"/>
          <w:szCs w:val="28"/>
          <w:lang w:val="el-GR"/>
        </w:rPr>
        <w:t>. 22.6.2023</w:t>
      </w:r>
      <w:r>
        <w:rPr>
          <w:rFonts w:ascii="Bookman Old Style" w:hAnsi="Bookman Old Style"/>
          <w:sz w:val="28"/>
          <w:szCs w:val="28"/>
          <w:lang w:val="el-GR"/>
        </w:rPr>
        <w:t>.</w:t>
      </w:r>
      <w:r w:rsidRPr="002313F2">
        <w:rPr>
          <w:rFonts w:ascii="Bookman Old Style" w:hAnsi="Bookman Old Style"/>
          <w:sz w:val="28"/>
          <w:szCs w:val="28"/>
          <w:lang w:val="el-GR"/>
        </w:rPr>
        <w:t xml:space="preserve"> </w:t>
      </w:r>
    </w:p>
    <w:p w14:paraId="0BA660CB" w14:textId="429E1ABA" w:rsidR="00EC1639" w:rsidRDefault="00EC1639"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Εφεσείων εισηγείται ότι το πρωτόδικο Δικαστήριο αξιολόγησε κάποιους </w:t>
      </w:r>
      <w:r w:rsidR="00356F91">
        <w:rPr>
          <w:rFonts w:ascii="Bookman Old Style" w:hAnsi="Bookman Old Style"/>
          <w:sz w:val="28"/>
          <w:szCs w:val="28"/>
          <w:lang w:val="el-GR"/>
        </w:rPr>
        <w:t xml:space="preserve">από τους μάρτυρες </w:t>
      </w:r>
      <w:r>
        <w:rPr>
          <w:rFonts w:ascii="Bookman Old Style" w:hAnsi="Bookman Old Style"/>
          <w:sz w:val="28"/>
          <w:szCs w:val="28"/>
          <w:lang w:val="el-GR"/>
        </w:rPr>
        <w:t>της Εφεσίβλητης αγνοώντας πτυχές της μαρτυρίας εκάστου οι οποί</w:t>
      </w:r>
      <w:r w:rsidR="003423AC">
        <w:rPr>
          <w:rFonts w:ascii="Bookman Old Style" w:hAnsi="Bookman Old Style"/>
          <w:sz w:val="28"/>
          <w:szCs w:val="28"/>
          <w:lang w:val="el-GR"/>
        </w:rPr>
        <w:t>ες</w:t>
      </w:r>
      <w:r>
        <w:rPr>
          <w:rFonts w:ascii="Bookman Old Style" w:hAnsi="Bookman Old Style"/>
          <w:sz w:val="28"/>
          <w:szCs w:val="28"/>
          <w:lang w:val="el-GR"/>
        </w:rPr>
        <w:t>, κατά τη θέση τ</w:t>
      </w:r>
      <w:r w:rsidR="00943C63">
        <w:rPr>
          <w:rFonts w:ascii="Bookman Old Style" w:hAnsi="Bookman Old Style"/>
          <w:sz w:val="28"/>
          <w:szCs w:val="28"/>
          <w:lang w:val="el-GR"/>
        </w:rPr>
        <w:t>ου</w:t>
      </w:r>
      <w:r>
        <w:rPr>
          <w:rFonts w:ascii="Bookman Old Style" w:hAnsi="Bookman Old Style"/>
          <w:sz w:val="28"/>
          <w:szCs w:val="28"/>
          <w:lang w:val="el-GR"/>
        </w:rPr>
        <w:t xml:space="preserve">, έπλητταν την αξιοπιστία τους. </w:t>
      </w:r>
    </w:p>
    <w:p w14:paraId="0249B000" w14:textId="055DE215" w:rsidR="00CB1839" w:rsidRDefault="003C7D2B"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 ΜΕ2, υπάλληλος στην Υπηρεσία Ανάκτησης Χρεών της Εφεσίβλητης, κατέθεσε αναδομημένες καταστάσεις λογαριασμού</w:t>
      </w:r>
      <w:r w:rsidR="002006B7">
        <w:rPr>
          <w:rFonts w:ascii="Bookman Old Style" w:hAnsi="Bookman Old Style"/>
          <w:sz w:val="28"/>
          <w:szCs w:val="28"/>
          <w:lang w:val="el-GR"/>
        </w:rPr>
        <w:t xml:space="preserve"> και </w:t>
      </w:r>
      <w:r>
        <w:rPr>
          <w:rFonts w:ascii="Bookman Old Style" w:hAnsi="Bookman Old Style"/>
          <w:sz w:val="28"/>
          <w:szCs w:val="28"/>
          <w:lang w:val="el-GR"/>
        </w:rPr>
        <w:t xml:space="preserve">εξήγησε </w:t>
      </w:r>
      <w:r w:rsidR="00E46EC6">
        <w:rPr>
          <w:rFonts w:ascii="Bookman Old Style" w:hAnsi="Bookman Old Style"/>
          <w:sz w:val="28"/>
          <w:szCs w:val="28"/>
          <w:lang w:val="el-GR"/>
        </w:rPr>
        <w:t xml:space="preserve">ότι </w:t>
      </w:r>
      <w:r>
        <w:rPr>
          <w:rFonts w:ascii="Bookman Old Style" w:hAnsi="Bookman Old Style"/>
          <w:sz w:val="28"/>
          <w:szCs w:val="28"/>
          <w:lang w:val="el-GR"/>
        </w:rPr>
        <w:t>αυτές που είχαν κατατεθεί από την πρώτη μάρτυρα κατόπιν δικών του οδηγιών περιείχαν κάποια λάθη</w:t>
      </w:r>
      <w:r w:rsidR="002006B7">
        <w:rPr>
          <w:rFonts w:ascii="Bookman Old Style" w:hAnsi="Bookman Old Style"/>
          <w:sz w:val="28"/>
          <w:szCs w:val="28"/>
          <w:lang w:val="el-GR"/>
        </w:rPr>
        <w:t>,</w:t>
      </w:r>
      <w:r>
        <w:rPr>
          <w:rFonts w:ascii="Bookman Old Style" w:hAnsi="Bookman Old Style"/>
          <w:sz w:val="28"/>
          <w:szCs w:val="28"/>
          <w:lang w:val="el-GR"/>
        </w:rPr>
        <w:t xml:space="preserve"> </w:t>
      </w:r>
      <w:proofErr w:type="spellStart"/>
      <w:r>
        <w:rPr>
          <w:rFonts w:ascii="Bookman Old Style" w:hAnsi="Bookman Old Style"/>
          <w:sz w:val="28"/>
          <w:szCs w:val="28"/>
          <w:lang w:val="el-GR"/>
        </w:rPr>
        <w:t>εξο</w:t>
      </w:r>
      <w:r w:rsidR="00A35F48">
        <w:rPr>
          <w:rFonts w:ascii="Bookman Old Style" w:hAnsi="Bookman Old Style"/>
          <w:sz w:val="28"/>
          <w:szCs w:val="28"/>
          <w:lang w:val="el-GR"/>
        </w:rPr>
        <w:t>ύ</w:t>
      </w:r>
      <w:proofErr w:type="spellEnd"/>
      <w:r>
        <w:rPr>
          <w:rFonts w:ascii="Bookman Old Style" w:hAnsi="Bookman Old Style"/>
          <w:sz w:val="28"/>
          <w:szCs w:val="28"/>
          <w:lang w:val="el-GR"/>
        </w:rPr>
        <w:t xml:space="preserve"> και ο ίδιος προέβη στην ετοιμασία νέων αναδομημένων καταστάσεων.</w:t>
      </w:r>
      <w:r w:rsidR="00890D51">
        <w:rPr>
          <w:rFonts w:ascii="Bookman Old Style" w:hAnsi="Bookman Old Style"/>
          <w:sz w:val="28"/>
          <w:szCs w:val="28"/>
          <w:lang w:val="el-GR"/>
        </w:rPr>
        <w:t xml:space="preserve"> </w:t>
      </w:r>
      <w:r w:rsidR="00337E24">
        <w:rPr>
          <w:rFonts w:ascii="Bookman Old Style" w:hAnsi="Bookman Old Style"/>
          <w:sz w:val="28"/>
          <w:szCs w:val="28"/>
          <w:lang w:val="el-GR"/>
        </w:rPr>
        <w:t xml:space="preserve">Τα λάθη ήταν βασικά δύο ημερομηνίες μεταβολής του επιτοκίου </w:t>
      </w:r>
      <w:r w:rsidR="00AB02C7">
        <w:rPr>
          <w:rFonts w:ascii="Bookman Old Style" w:hAnsi="Bookman Old Style"/>
          <w:sz w:val="28"/>
          <w:szCs w:val="28"/>
          <w:lang w:val="el-GR"/>
        </w:rPr>
        <w:t xml:space="preserve">και μάλιστα μόνο </w:t>
      </w:r>
      <w:r w:rsidR="008C6384">
        <w:rPr>
          <w:rFonts w:ascii="Bookman Old Style" w:hAnsi="Bookman Old Style"/>
          <w:sz w:val="28"/>
          <w:szCs w:val="28"/>
          <w:lang w:val="el-GR"/>
        </w:rPr>
        <w:t xml:space="preserve">με διαφορά μιας </w:t>
      </w:r>
      <w:r w:rsidR="00AB02C7">
        <w:rPr>
          <w:rFonts w:ascii="Bookman Old Style" w:hAnsi="Bookman Old Style"/>
          <w:sz w:val="28"/>
          <w:szCs w:val="28"/>
          <w:lang w:val="el-GR"/>
        </w:rPr>
        <w:t>η</w:t>
      </w:r>
      <w:r w:rsidR="00337E24">
        <w:rPr>
          <w:rFonts w:ascii="Bookman Old Style" w:hAnsi="Bookman Old Style"/>
          <w:sz w:val="28"/>
          <w:szCs w:val="28"/>
          <w:lang w:val="el-GR"/>
        </w:rPr>
        <w:t>μέρα</w:t>
      </w:r>
      <w:r w:rsidR="008C6384">
        <w:rPr>
          <w:rFonts w:ascii="Bookman Old Style" w:hAnsi="Bookman Old Style"/>
          <w:sz w:val="28"/>
          <w:szCs w:val="28"/>
          <w:lang w:val="el-GR"/>
        </w:rPr>
        <w:t>ς</w:t>
      </w:r>
      <w:r w:rsidR="00AB02C7">
        <w:rPr>
          <w:rFonts w:ascii="Bookman Old Style" w:hAnsi="Bookman Old Style"/>
          <w:sz w:val="28"/>
          <w:szCs w:val="28"/>
          <w:lang w:val="el-GR"/>
        </w:rPr>
        <w:t xml:space="preserve"> </w:t>
      </w:r>
      <w:r w:rsidR="008C6384">
        <w:rPr>
          <w:rFonts w:ascii="Bookman Old Style" w:hAnsi="Bookman Old Style"/>
          <w:sz w:val="28"/>
          <w:szCs w:val="28"/>
          <w:lang w:val="el-GR"/>
        </w:rPr>
        <w:t>η καθεμιά.</w:t>
      </w:r>
      <w:r w:rsidR="00337E24">
        <w:rPr>
          <w:rFonts w:ascii="Bookman Old Style" w:hAnsi="Bookman Old Style"/>
          <w:sz w:val="28"/>
          <w:szCs w:val="28"/>
          <w:lang w:val="el-GR"/>
        </w:rPr>
        <w:t xml:space="preserve"> </w:t>
      </w:r>
      <w:r w:rsidR="00890D51">
        <w:rPr>
          <w:rFonts w:ascii="Bookman Old Style" w:hAnsi="Bookman Old Style"/>
          <w:sz w:val="28"/>
          <w:szCs w:val="28"/>
          <w:lang w:val="el-GR"/>
        </w:rPr>
        <w:t xml:space="preserve">Το πρωτόδικο Δικαστήριο </w:t>
      </w:r>
      <w:r w:rsidR="007D50FA">
        <w:rPr>
          <w:rFonts w:ascii="Bookman Old Style" w:hAnsi="Bookman Old Style"/>
          <w:sz w:val="28"/>
          <w:szCs w:val="28"/>
          <w:lang w:val="el-GR"/>
        </w:rPr>
        <w:t xml:space="preserve">ανέφερε πως </w:t>
      </w:r>
      <w:r w:rsidR="00890D51">
        <w:rPr>
          <w:rFonts w:ascii="Bookman Old Style" w:hAnsi="Bookman Old Style"/>
          <w:sz w:val="28"/>
          <w:szCs w:val="28"/>
          <w:lang w:val="el-GR"/>
        </w:rPr>
        <w:t>δέχθηκε τη μαρτυρία του ως αξιόπιστη</w:t>
      </w:r>
      <w:r w:rsidR="00877627">
        <w:rPr>
          <w:rFonts w:ascii="Bookman Old Style" w:hAnsi="Bookman Old Style"/>
          <w:sz w:val="28"/>
          <w:szCs w:val="28"/>
          <w:lang w:val="el-GR"/>
        </w:rPr>
        <w:t xml:space="preserve"> καθότι αφενός τα λεγόμενα του επιβεβαιώνονταν από τα έγγραφα που κατέθεσε και </w:t>
      </w:r>
      <w:r w:rsidR="00877627">
        <w:rPr>
          <w:rFonts w:ascii="Bookman Old Style" w:hAnsi="Bookman Old Style"/>
          <w:sz w:val="28"/>
          <w:szCs w:val="28"/>
          <w:lang w:val="el-GR"/>
        </w:rPr>
        <w:lastRenderedPageBreak/>
        <w:t xml:space="preserve">αφετέρου το περιεχόμενο των καταστάσεων δεν αμφισβητήθηκε κατά την </w:t>
      </w:r>
      <w:proofErr w:type="spellStart"/>
      <w:r w:rsidR="00877627">
        <w:rPr>
          <w:rFonts w:ascii="Bookman Old Style" w:hAnsi="Bookman Old Style"/>
          <w:sz w:val="28"/>
          <w:szCs w:val="28"/>
          <w:lang w:val="el-GR"/>
        </w:rPr>
        <w:t>αντεξέταση</w:t>
      </w:r>
      <w:proofErr w:type="spellEnd"/>
      <w:r w:rsidR="00877627">
        <w:rPr>
          <w:rFonts w:ascii="Bookman Old Style" w:hAnsi="Bookman Old Style"/>
          <w:sz w:val="28"/>
          <w:szCs w:val="28"/>
          <w:lang w:val="el-GR"/>
        </w:rPr>
        <w:t xml:space="preserve"> του. </w:t>
      </w:r>
      <w:r w:rsidR="006F1DC1">
        <w:rPr>
          <w:rFonts w:ascii="Bookman Old Style" w:hAnsi="Bookman Old Style"/>
          <w:sz w:val="28"/>
          <w:szCs w:val="28"/>
          <w:lang w:val="el-GR"/>
        </w:rPr>
        <w:t>Πράγματι, πρόκειται για λάθη τα οποία εύκολα μπορούσαν να εντοπιστούν και</w:t>
      </w:r>
      <w:r w:rsidR="00E46EC6">
        <w:rPr>
          <w:rFonts w:ascii="Bookman Old Style" w:hAnsi="Bookman Old Style"/>
          <w:sz w:val="28"/>
          <w:szCs w:val="28"/>
          <w:lang w:val="el-GR"/>
        </w:rPr>
        <w:t xml:space="preserve"> διορθωθούν</w:t>
      </w:r>
      <w:r w:rsidR="006F1DC1">
        <w:rPr>
          <w:rFonts w:ascii="Bookman Old Style" w:hAnsi="Bookman Old Style"/>
          <w:sz w:val="28"/>
          <w:szCs w:val="28"/>
          <w:lang w:val="el-GR"/>
        </w:rPr>
        <w:t xml:space="preserve">, </w:t>
      </w:r>
      <w:r w:rsidR="00E46EC6">
        <w:rPr>
          <w:rFonts w:ascii="Bookman Old Style" w:hAnsi="Bookman Old Style"/>
          <w:sz w:val="28"/>
          <w:szCs w:val="28"/>
          <w:lang w:val="el-GR"/>
        </w:rPr>
        <w:t xml:space="preserve">αν </w:t>
      </w:r>
      <w:r w:rsidR="006F1DC1">
        <w:rPr>
          <w:rFonts w:ascii="Bookman Old Style" w:hAnsi="Bookman Old Style"/>
          <w:sz w:val="28"/>
          <w:szCs w:val="28"/>
          <w:lang w:val="el-GR"/>
        </w:rPr>
        <w:t xml:space="preserve">και είναι ορθή η διαπίστωση του πρωτόδικου Δικαστηρίου ότι το περιεχόμενο των καταστάσεων δεν αποτέλεσε αντικείμενο αμφισβήτησης από την πλευρά του Εφεσείοντα. Είναι γνωστή η νομική αρχή ότι παράλειψη </w:t>
      </w:r>
      <w:proofErr w:type="spellStart"/>
      <w:r w:rsidR="006F1DC1">
        <w:rPr>
          <w:rFonts w:ascii="Bookman Old Style" w:hAnsi="Bookman Old Style"/>
          <w:sz w:val="28"/>
          <w:szCs w:val="28"/>
          <w:lang w:val="el-GR"/>
        </w:rPr>
        <w:t>αντεξέτασης</w:t>
      </w:r>
      <w:proofErr w:type="spellEnd"/>
      <w:r w:rsidR="006F1DC1">
        <w:rPr>
          <w:rFonts w:ascii="Bookman Old Style" w:hAnsi="Bookman Old Style"/>
          <w:sz w:val="28"/>
          <w:szCs w:val="28"/>
          <w:lang w:val="el-GR"/>
        </w:rPr>
        <w:t xml:space="preserve"> σε ουσιώδες ζήτημα</w:t>
      </w:r>
      <w:r w:rsidR="00751EA7">
        <w:rPr>
          <w:rFonts w:ascii="Bookman Old Style" w:hAnsi="Bookman Old Style"/>
          <w:sz w:val="28"/>
          <w:szCs w:val="28"/>
          <w:lang w:val="el-GR"/>
        </w:rPr>
        <w:t xml:space="preserve"> θεωρείται ως αποδοχή της εκδοχής που θέτει ο μάρτυρας. Σχετικά παραπέμπουμε στις υποθέσεις</w:t>
      </w:r>
      <w:r w:rsidR="006F1DC1">
        <w:rPr>
          <w:rFonts w:ascii="Bookman Old Style" w:hAnsi="Bookman Old Style"/>
          <w:sz w:val="28"/>
          <w:szCs w:val="28"/>
          <w:lang w:val="el-GR"/>
        </w:rPr>
        <w:t xml:space="preserve"> </w:t>
      </w:r>
      <w:r w:rsidR="00751EA7" w:rsidRPr="00751EA7">
        <w:rPr>
          <w:rFonts w:ascii="Bookman Old Style" w:hAnsi="Bookman Old Style"/>
          <w:b/>
          <w:bCs/>
          <w:i/>
          <w:iCs/>
          <w:sz w:val="28"/>
          <w:szCs w:val="28"/>
          <w:lang w:val="el-GR"/>
        </w:rPr>
        <w:t xml:space="preserve">Μοσχάτου </w:t>
      </w:r>
      <w:r w:rsidR="00751EA7" w:rsidRPr="00751EA7">
        <w:rPr>
          <w:rFonts w:ascii="Bookman Old Style" w:hAnsi="Bookman Old Style"/>
          <w:b/>
          <w:bCs/>
          <w:i/>
          <w:iCs/>
          <w:sz w:val="28"/>
          <w:szCs w:val="28"/>
        </w:rPr>
        <w:t>v</w:t>
      </w:r>
      <w:r w:rsidR="00751EA7" w:rsidRPr="00751EA7">
        <w:rPr>
          <w:rFonts w:ascii="Bookman Old Style" w:hAnsi="Bookman Old Style"/>
          <w:b/>
          <w:bCs/>
          <w:i/>
          <w:iCs/>
          <w:sz w:val="28"/>
          <w:szCs w:val="28"/>
          <w:lang w:val="el-GR"/>
        </w:rPr>
        <w:t>. Μοσχάτου (1999) 1(Β) Α.Α.Δ. 785</w:t>
      </w:r>
      <w:r w:rsidR="00751EA7">
        <w:rPr>
          <w:rFonts w:ascii="Bookman Old Style" w:hAnsi="Bookman Old Style"/>
          <w:b/>
          <w:bCs/>
          <w:i/>
          <w:iCs/>
          <w:sz w:val="28"/>
          <w:szCs w:val="28"/>
          <w:lang w:val="el-GR"/>
        </w:rPr>
        <w:t xml:space="preserve"> </w:t>
      </w:r>
      <w:r w:rsidR="00751EA7">
        <w:rPr>
          <w:rFonts w:ascii="Bookman Old Style" w:hAnsi="Bookman Old Style"/>
          <w:sz w:val="28"/>
          <w:szCs w:val="28"/>
          <w:lang w:val="el-GR"/>
        </w:rPr>
        <w:t xml:space="preserve">και </w:t>
      </w:r>
      <w:r w:rsidR="00751EA7" w:rsidRPr="00751EA7">
        <w:rPr>
          <w:rFonts w:ascii="Bookman Old Style" w:hAnsi="Bookman Old Style"/>
          <w:b/>
          <w:bCs/>
          <w:i/>
          <w:iCs/>
          <w:sz w:val="28"/>
          <w:szCs w:val="28"/>
          <w:lang w:val="el-GR"/>
        </w:rPr>
        <w:t xml:space="preserve">Σκάρος </w:t>
      </w:r>
      <w:r w:rsidR="00751EA7" w:rsidRPr="00751EA7">
        <w:rPr>
          <w:rFonts w:ascii="Bookman Old Style" w:hAnsi="Bookman Old Style"/>
          <w:b/>
          <w:bCs/>
          <w:i/>
          <w:iCs/>
          <w:sz w:val="28"/>
          <w:szCs w:val="28"/>
        </w:rPr>
        <w:t>v</w:t>
      </w:r>
      <w:r w:rsidR="00751EA7" w:rsidRPr="00751EA7">
        <w:rPr>
          <w:rFonts w:ascii="Bookman Old Style" w:hAnsi="Bookman Old Style"/>
          <w:b/>
          <w:bCs/>
          <w:i/>
          <w:iCs/>
          <w:sz w:val="28"/>
          <w:szCs w:val="28"/>
          <w:lang w:val="el-GR"/>
        </w:rPr>
        <w:t>. Χριστοδούλου κ.ά.</w:t>
      </w:r>
      <w:r w:rsidR="00751EA7">
        <w:rPr>
          <w:rFonts w:ascii="Bookman Old Style" w:hAnsi="Bookman Old Style"/>
          <w:sz w:val="28"/>
          <w:szCs w:val="28"/>
          <w:lang w:val="el-GR"/>
        </w:rPr>
        <w:t xml:space="preserve"> </w:t>
      </w:r>
      <w:r w:rsidR="00751EA7" w:rsidRPr="00751EA7">
        <w:rPr>
          <w:rFonts w:ascii="Bookman Old Style" w:hAnsi="Bookman Old Style"/>
          <w:b/>
          <w:bCs/>
          <w:i/>
          <w:iCs/>
          <w:sz w:val="28"/>
          <w:szCs w:val="28"/>
          <w:lang w:val="el-GR"/>
        </w:rPr>
        <w:t>(1998) 1</w:t>
      </w:r>
      <w:r w:rsidR="00751EA7">
        <w:rPr>
          <w:rFonts w:ascii="Bookman Old Style" w:hAnsi="Bookman Old Style"/>
          <w:b/>
          <w:bCs/>
          <w:i/>
          <w:iCs/>
          <w:sz w:val="28"/>
          <w:szCs w:val="28"/>
          <w:lang w:val="el-GR"/>
        </w:rPr>
        <w:t>(Α)</w:t>
      </w:r>
      <w:r w:rsidR="00751EA7" w:rsidRPr="00751EA7">
        <w:rPr>
          <w:rFonts w:ascii="Bookman Old Style" w:hAnsi="Bookman Old Style"/>
          <w:b/>
          <w:bCs/>
          <w:i/>
          <w:iCs/>
          <w:sz w:val="28"/>
          <w:szCs w:val="28"/>
          <w:lang w:val="el-GR"/>
        </w:rPr>
        <w:t xml:space="preserve"> Α.Α.Δ. 291</w:t>
      </w:r>
      <w:r w:rsidR="00751EA7">
        <w:rPr>
          <w:rFonts w:ascii="Bookman Old Style" w:hAnsi="Bookman Old Style"/>
          <w:sz w:val="28"/>
          <w:szCs w:val="28"/>
          <w:lang w:val="el-GR"/>
        </w:rPr>
        <w:t xml:space="preserve">. </w:t>
      </w:r>
    </w:p>
    <w:p w14:paraId="1836BEC5" w14:textId="0194FE5D" w:rsidR="00224D72" w:rsidRDefault="00224D72"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Εδώ κρίνεται κατάλληλο να παρεμβάλουμε ότι το πρωτόδικο Δικαστήριο ορθά δέχθηκε ως αξιόπιστη τη ΜΕ1, υπάλληλο στο </w:t>
      </w:r>
      <w:r w:rsidR="00421B9A">
        <w:rPr>
          <w:rFonts w:ascii="Bookman Old Style" w:hAnsi="Bookman Old Style"/>
          <w:sz w:val="28"/>
          <w:szCs w:val="28"/>
          <w:lang w:val="el-GR"/>
        </w:rPr>
        <w:t>λ</w:t>
      </w:r>
      <w:r>
        <w:rPr>
          <w:rFonts w:ascii="Bookman Old Style" w:hAnsi="Bookman Old Style"/>
          <w:sz w:val="28"/>
          <w:szCs w:val="28"/>
          <w:lang w:val="el-GR"/>
        </w:rPr>
        <w:t xml:space="preserve">ογιστήριο της Εφεσίβλητης, η οποία ετοίμασε τις αναδομημένες καταστάσεις λογαριασμού στη βάση των </w:t>
      </w:r>
      <w:r w:rsidR="00531E16">
        <w:rPr>
          <w:rFonts w:ascii="Bookman Old Style" w:hAnsi="Bookman Old Style"/>
          <w:sz w:val="28"/>
          <w:szCs w:val="28"/>
          <w:lang w:val="el-GR"/>
        </w:rPr>
        <w:t xml:space="preserve">οδηγιών και </w:t>
      </w:r>
      <w:r>
        <w:rPr>
          <w:rFonts w:ascii="Bookman Old Style" w:hAnsi="Bookman Old Style"/>
          <w:sz w:val="28"/>
          <w:szCs w:val="28"/>
          <w:lang w:val="el-GR"/>
        </w:rPr>
        <w:t>δεδομένων που της έδωσε ο ΜΕ2</w:t>
      </w:r>
      <w:r w:rsidR="00385A7C">
        <w:rPr>
          <w:rFonts w:ascii="Bookman Old Style" w:hAnsi="Bookman Old Style"/>
          <w:sz w:val="28"/>
          <w:szCs w:val="28"/>
          <w:lang w:val="el-GR"/>
        </w:rPr>
        <w:t xml:space="preserve">. Η </w:t>
      </w:r>
      <w:r w:rsidR="00421B9A">
        <w:rPr>
          <w:rFonts w:ascii="Bookman Old Style" w:hAnsi="Bookman Old Style"/>
          <w:sz w:val="28"/>
          <w:szCs w:val="28"/>
          <w:lang w:val="el-GR"/>
        </w:rPr>
        <w:t xml:space="preserve">ΜΕ1 </w:t>
      </w:r>
      <w:r w:rsidR="00531E16">
        <w:rPr>
          <w:rFonts w:ascii="Bookman Old Style" w:hAnsi="Bookman Old Style"/>
          <w:sz w:val="28"/>
          <w:szCs w:val="28"/>
          <w:lang w:val="el-GR"/>
        </w:rPr>
        <w:t xml:space="preserve">δεν υπέστη οποιαδήποτε </w:t>
      </w:r>
      <w:proofErr w:type="spellStart"/>
      <w:r w:rsidR="00531E16">
        <w:rPr>
          <w:rFonts w:ascii="Bookman Old Style" w:hAnsi="Bookman Old Style"/>
          <w:sz w:val="28"/>
          <w:szCs w:val="28"/>
          <w:lang w:val="el-GR"/>
        </w:rPr>
        <w:t>αντεξέταση</w:t>
      </w:r>
      <w:proofErr w:type="spellEnd"/>
      <w:r w:rsidR="00531E16">
        <w:rPr>
          <w:rFonts w:ascii="Bookman Old Style" w:hAnsi="Bookman Old Style"/>
          <w:sz w:val="28"/>
          <w:szCs w:val="28"/>
          <w:lang w:val="el-GR"/>
        </w:rPr>
        <w:t xml:space="preserve">. </w:t>
      </w:r>
      <w:r w:rsidR="00570934">
        <w:rPr>
          <w:rFonts w:ascii="Bookman Old Style" w:hAnsi="Bookman Old Style"/>
          <w:sz w:val="28"/>
          <w:szCs w:val="28"/>
          <w:lang w:val="el-GR"/>
        </w:rPr>
        <w:t xml:space="preserve">Επομένως, δεν παρουσιάζεται </w:t>
      </w:r>
      <w:r w:rsidR="00D96FB2">
        <w:rPr>
          <w:rFonts w:ascii="Bookman Old Style" w:hAnsi="Bookman Old Style"/>
          <w:sz w:val="28"/>
          <w:szCs w:val="28"/>
          <w:lang w:val="el-GR"/>
        </w:rPr>
        <w:t xml:space="preserve">οποιοδήποτε σφάλμα στην αποδοχή της μαρτυρίας </w:t>
      </w:r>
      <w:r w:rsidR="00275B68">
        <w:rPr>
          <w:rFonts w:ascii="Bookman Old Style" w:hAnsi="Bookman Old Style"/>
          <w:sz w:val="28"/>
          <w:szCs w:val="28"/>
          <w:lang w:val="el-GR"/>
        </w:rPr>
        <w:t xml:space="preserve">και </w:t>
      </w:r>
      <w:r w:rsidR="00D96FB2">
        <w:rPr>
          <w:rFonts w:ascii="Bookman Old Style" w:hAnsi="Bookman Old Style"/>
          <w:sz w:val="28"/>
          <w:szCs w:val="28"/>
          <w:lang w:val="el-GR"/>
        </w:rPr>
        <w:t xml:space="preserve">των δύο αυτών μαρτύρων. </w:t>
      </w:r>
    </w:p>
    <w:p w14:paraId="1B28B2ED" w14:textId="79F8E455" w:rsidR="00406B4D" w:rsidRDefault="002F596D"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Αναφορικά με τον ΜΕ3, </w:t>
      </w:r>
      <w:r w:rsidR="00421B9A">
        <w:rPr>
          <w:rFonts w:ascii="Bookman Old Style" w:hAnsi="Bookman Old Style"/>
          <w:sz w:val="28"/>
          <w:szCs w:val="28"/>
          <w:lang w:val="el-GR"/>
        </w:rPr>
        <w:t>π</w:t>
      </w:r>
      <w:r>
        <w:rPr>
          <w:rFonts w:ascii="Bookman Old Style" w:hAnsi="Bookman Old Style"/>
          <w:sz w:val="28"/>
          <w:szCs w:val="28"/>
          <w:lang w:val="el-GR"/>
        </w:rPr>
        <w:t>ροϊστάμενο της Υπηρεσίας Ανάκτησης Χρεών της Εφεσίβλητης</w:t>
      </w:r>
      <w:r w:rsidR="006F7B00">
        <w:rPr>
          <w:rFonts w:ascii="Bookman Old Style" w:hAnsi="Bookman Old Style"/>
          <w:sz w:val="28"/>
          <w:szCs w:val="28"/>
          <w:lang w:val="el-GR"/>
        </w:rPr>
        <w:t xml:space="preserve">, </w:t>
      </w:r>
      <w:r w:rsidR="00F94899">
        <w:rPr>
          <w:rFonts w:ascii="Bookman Old Style" w:hAnsi="Bookman Old Style"/>
          <w:sz w:val="28"/>
          <w:szCs w:val="28"/>
          <w:lang w:val="el-GR"/>
        </w:rPr>
        <w:t xml:space="preserve">και πάλι το πρωτόδικο Δικαστήριο δέχθηκε τη μαρτυρία του ως αξιόπιστη. Αυτός </w:t>
      </w:r>
      <w:r w:rsidR="00D15530">
        <w:rPr>
          <w:rFonts w:ascii="Bookman Old Style" w:hAnsi="Bookman Old Style"/>
          <w:sz w:val="28"/>
          <w:szCs w:val="28"/>
          <w:lang w:val="el-GR"/>
        </w:rPr>
        <w:t xml:space="preserve">ήταν το πρόσωπο που υπέγραψε την αίτηση του Εφεσείοντα με σύσταση για να ανοιχθεί ο </w:t>
      </w:r>
      <w:r w:rsidR="00D15530">
        <w:rPr>
          <w:rFonts w:ascii="Bookman Old Style" w:hAnsi="Bookman Old Style"/>
          <w:sz w:val="28"/>
          <w:szCs w:val="28"/>
          <w:lang w:val="el-GR"/>
        </w:rPr>
        <w:lastRenderedPageBreak/>
        <w:t xml:space="preserve">λογαριασμός, εφόσον τον γνώριζε ως αδελφό συναδέλφου του. </w:t>
      </w:r>
      <w:r w:rsidR="00406B4D">
        <w:rPr>
          <w:rFonts w:ascii="Bookman Old Style" w:hAnsi="Bookman Old Style"/>
          <w:sz w:val="28"/>
          <w:szCs w:val="28"/>
          <w:lang w:val="el-GR"/>
        </w:rPr>
        <w:t xml:space="preserve">Το πρωτόδικο Δικαστήριο </w:t>
      </w:r>
      <w:r w:rsidR="005309E7">
        <w:rPr>
          <w:rFonts w:ascii="Bookman Old Style" w:hAnsi="Bookman Old Style"/>
          <w:sz w:val="28"/>
          <w:szCs w:val="28"/>
          <w:lang w:val="el-GR"/>
        </w:rPr>
        <w:t xml:space="preserve">ορθά κατέληξε ότι αυτή η θέση του επιβεβαιώνεται από το ίδιο το έγγραφο της αίτησης, στο οποίο </w:t>
      </w:r>
      <w:r w:rsidR="00C64753">
        <w:rPr>
          <w:rFonts w:ascii="Bookman Old Style" w:hAnsi="Bookman Old Style"/>
          <w:sz w:val="28"/>
          <w:szCs w:val="28"/>
          <w:lang w:val="el-GR"/>
        </w:rPr>
        <w:t xml:space="preserve">ο ΜΕ3 </w:t>
      </w:r>
      <w:r w:rsidR="005309E7">
        <w:rPr>
          <w:rFonts w:ascii="Bookman Old Style" w:hAnsi="Bookman Old Style"/>
          <w:sz w:val="28"/>
          <w:szCs w:val="28"/>
          <w:lang w:val="el-GR"/>
        </w:rPr>
        <w:t xml:space="preserve">αναγνώρισε τη σύσταση και την υπογραφή του. Επίσης </w:t>
      </w:r>
      <w:r w:rsidR="00406B4D">
        <w:rPr>
          <w:rFonts w:ascii="Bookman Old Style" w:hAnsi="Bookman Old Style"/>
          <w:sz w:val="28"/>
          <w:szCs w:val="28"/>
          <w:lang w:val="el-GR"/>
        </w:rPr>
        <w:t xml:space="preserve">αξιολόγησε </w:t>
      </w:r>
      <w:r w:rsidR="00BE767D">
        <w:rPr>
          <w:rFonts w:ascii="Bookman Old Style" w:hAnsi="Bookman Old Style"/>
          <w:sz w:val="28"/>
          <w:szCs w:val="28"/>
          <w:lang w:val="el-GR"/>
        </w:rPr>
        <w:t xml:space="preserve">τόσο </w:t>
      </w:r>
      <w:r w:rsidR="00406B4D">
        <w:rPr>
          <w:rFonts w:ascii="Bookman Old Style" w:hAnsi="Bookman Old Style"/>
          <w:sz w:val="28"/>
          <w:szCs w:val="28"/>
          <w:lang w:val="el-GR"/>
        </w:rPr>
        <w:t xml:space="preserve">τη θέση του μάρτυρα ότι ο ίδιος δεν προέβη σε οποιαδήποτε παρότρυνση </w:t>
      </w:r>
      <w:r w:rsidR="00421B9A">
        <w:rPr>
          <w:rFonts w:ascii="Bookman Old Style" w:hAnsi="Bookman Old Style"/>
          <w:sz w:val="28"/>
          <w:szCs w:val="28"/>
          <w:lang w:val="el-GR"/>
        </w:rPr>
        <w:t xml:space="preserve">προς τον </w:t>
      </w:r>
      <w:r w:rsidR="00406B4D">
        <w:rPr>
          <w:rFonts w:ascii="Bookman Old Style" w:hAnsi="Bookman Old Style"/>
          <w:sz w:val="28"/>
          <w:szCs w:val="28"/>
          <w:lang w:val="el-GR"/>
        </w:rPr>
        <w:t xml:space="preserve">Εφεσείοντα για το άνοιγμα του λογαριασμού </w:t>
      </w:r>
      <w:r w:rsidR="00BE767D">
        <w:rPr>
          <w:rFonts w:ascii="Bookman Old Style" w:hAnsi="Bookman Old Style"/>
          <w:sz w:val="28"/>
          <w:szCs w:val="28"/>
          <w:lang w:val="el-GR"/>
        </w:rPr>
        <w:t xml:space="preserve">όσο και </w:t>
      </w:r>
      <w:r w:rsidR="00406B4D">
        <w:rPr>
          <w:rFonts w:ascii="Bookman Old Style" w:hAnsi="Bookman Old Style"/>
          <w:sz w:val="28"/>
          <w:szCs w:val="28"/>
          <w:lang w:val="el-GR"/>
        </w:rPr>
        <w:t>τη θέση τ</w:t>
      </w:r>
      <w:r w:rsidR="00421B9A">
        <w:rPr>
          <w:rFonts w:ascii="Bookman Old Style" w:hAnsi="Bookman Old Style"/>
          <w:sz w:val="28"/>
          <w:szCs w:val="28"/>
          <w:lang w:val="el-GR"/>
        </w:rPr>
        <w:t>ου</w:t>
      </w:r>
      <w:r w:rsidR="00406B4D">
        <w:rPr>
          <w:rFonts w:ascii="Bookman Old Style" w:hAnsi="Bookman Old Style"/>
          <w:sz w:val="28"/>
          <w:szCs w:val="28"/>
          <w:lang w:val="el-GR"/>
        </w:rPr>
        <w:t xml:space="preserve"> Εφεσείοντα πως </w:t>
      </w:r>
      <w:r w:rsidR="00421B9A">
        <w:rPr>
          <w:rFonts w:ascii="Bookman Old Style" w:hAnsi="Bookman Old Style"/>
          <w:sz w:val="28"/>
          <w:szCs w:val="28"/>
          <w:lang w:val="el-GR"/>
        </w:rPr>
        <w:t xml:space="preserve">η αναφορά του μάρτυρα προς τον ίδιο, πριν το άνοιγμα του επενδυτικού λογαριασμού, ότι οι τιμές των μετοχών ήταν ελκυστικές, </w:t>
      </w:r>
      <w:r w:rsidR="00406B4D">
        <w:rPr>
          <w:rFonts w:ascii="Bookman Old Style" w:hAnsi="Bookman Old Style"/>
          <w:sz w:val="28"/>
          <w:szCs w:val="28"/>
          <w:lang w:val="el-GR"/>
        </w:rPr>
        <w:t xml:space="preserve">αποτέλεσε παρότρυνση ή συμβουλή. Ήταν εύλογη η τοποθέτηση του πρωτόδικου Δικαστηρίου πως </w:t>
      </w:r>
      <w:r w:rsidR="005D21B1">
        <w:rPr>
          <w:rFonts w:ascii="Bookman Old Style" w:hAnsi="Bookman Old Style"/>
          <w:sz w:val="28"/>
          <w:szCs w:val="28"/>
          <w:lang w:val="el-GR"/>
        </w:rPr>
        <w:t xml:space="preserve">ακόμα και με την αναφορά ότι οι τιμές ήταν ελκυστικές, </w:t>
      </w:r>
      <w:r w:rsidR="00406B4D">
        <w:rPr>
          <w:rFonts w:ascii="Bookman Old Style" w:hAnsi="Bookman Old Style"/>
          <w:sz w:val="28"/>
          <w:szCs w:val="28"/>
          <w:lang w:val="el-GR"/>
        </w:rPr>
        <w:t xml:space="preserve">δεν ήταν λογικό </w:t>
      </w:r>
      <w:r w:rsidR="005D21B1">
        <w:rPr>
          <w:rFonts w:ascii="Bookman Old Style" w:hAnsi="Bookman Old Style"/>
          <w:sz w:val="28"/>
          <w:szCs w:val="28"/>
          <w:lang w:val="el-GR"/>
        </w:rPr>
        <w:t xml:space="preserve">για τον Εφεσείοντα </w:t>
      </w:r>
      <w:r w:rsidR="00406B4D">
        <w:rPr>
          <w:rFonts w:ascii="Bookman Old Style" w:hAnsi="Bookman Old Style"/>
          <w:sz w:val="28"/>
          <w:szCs w:val="28"/>
          <w:lang w:val="el-GR"/>
        </w:rPr>
        <w:t xml:space="preserve">να αναμένει ότι ως επενδυτής στο ΧΑΚ θα είχε μόνο κέρδη, πως ουδείς τον διαβεβαίωσε για κάτι τέτοιο και πως εν πάση περιπτώσει αυτό δεν μπορούσε να εκληφθεί ως συμβουλή σε συγκεκριμένο θέμα. </w:t>
      </w:r>
      <w:r w:rsidR="00421B9A">
        <w:rPr>
          <w:rFonts w:ascii="Bookman Old Style" w:hAnsi="Bookman Old Style"/>
          <w:sz w:val="28"/>
          <w:szCs w:val="28"/>
          <w:lang w:val="el-GR"/>
        </w:rPr>
        <w:t>Π</w:t>
      </w:r>
      <w:r w:rsidR="00406B4D">
        <w:rPr>
          <w:rFonts w:ascii="Bookman Old Style" w:hAnsi="Bookman Old Style"/>
          <w:sz w:val="28"/>
          <w:szCs w:val="28"/>
          <w:lang w:val="el-GR"/>
        </w:rPr>
        <w:t xml:space="preserve">ρόκειται για μια γενική αναφορά της τότε κατάστασης των μετοχών, χωρίς οποιαδήποτε άλλη υπόσχεση ή έστω ένδειξη ως προς την πορεία των μετοχών και κυρίως την προσδοκία για μόνο ανοδική πορεία. Επομένως </w:t>
      </w:r>
      <w:r w:rsidR="00AB35A3">
        <w:rPr>
          <w:rFonts w:ascii="Bookman Old Style" w:hAnsi="Bookman Old Style"/>
          <w:sz w:val="28"/>
          <w:szCs w:val="28"/>
          <w:lang w:val="el-GR"/>
        </w:rPr>
        <w:t xml:space="preserve">δεν συμφωνούμε με την εισήγηση του Εφεσείοντα ότι αυτή η θέση του ΜΕ3 ήταν συμβουλή η οποία </w:t>
      </w:r>
      <w:r w:rsidR="00BD1CD4" w:rsidRPr="00636DF9">
        <w:rPr>
          <w:rFonts w:ascii="Bookman Old Style" w:hAnsi="Bookman Old Style"/>
          <w:sz w:val="28"/>
          <w:szCs w:val="28"/>
          <w:lang w:val="el-GR"/>
        </w:rPr>
        <w:t>«</w:t>
      </w:r>
      <w:r w:rsidR="00636DF9" w:rsidRPr="00636DF9">
        <w:rPr>
          <w:rFonts w:ascii="Bookman Old Style" w:hAnsi="Bookman Old Style"/>
          <w:i/>
          <w:iCs/>
          <w:sz w:val="28"/>
          <w:szCs w:val="28"/>
          <w:lang w:val="el-GR"/>
        </w:rPr>
        <w:t xml:space="preserve">είναι στο μυαλό του μέσου ανθρώπου οπωσδήποτε μια </w:t>
      </w:r>
      <w:r w:rsidR="00636DF9" w:rsidRPr="00636DF9">
        <w:rPr>
          <w:rFonts w:ascii="Bookman Old Style" w:hAnsi="Bookman Old Style"/>
          <w:i/>
          <w:iCs/>
          <w:sz w:val="28"/>
          <w:szCs w:val="28"/>
          <w:lang w:val="el-GR"/>
        </w:rPr>
        <w:lastRenderedPageBreak/>
        <w:t>συμβουλή και όχι μια ξερή δήλωση άνευ σημασίας</w:t>
      </w:r>
      <w:r w:rsidR="00BD1CD4" w:rsidRPr="00636DF9">
        <w:rPr>
          <w:rFonts w:ascii="Bookman Old Style" w:hAnsi="Bookman Old Style"/>
          <w:sz w:val="28"/>
          <w:szCs w:val="28"/>
          <w:lang w:val="el-GR"/>
        </w:rPr>
        <w:t>»</w:t>
      </w:r>
      <w:r w:rsidR="00AB35A3" w:rsidRPr="00636DF9">
        <w:rPr>
          <w:rFonts w:ascii="Bookman Old Style" w:hAnsi="Bookman Old Style"/>
          <w:sz w:val="28"/>
          <w:szCs w:val="28"/>
          <w:lang w:val="el-GR"/>
        </w:rPr>
        <w:t>.</w:t>
      </w:r>
      <w:r w:rsidR="00AB35A3">
        <w:rPr>
          <w:rFonts w:ascii="Bookman Old Style" w:hAnsi="Bookman Old Style"/>
          <w:sz w:val="28"/>
          <w:szCs w:val="28"/>
          <w:lang w:val="el-GR"/>
        </w:rPr>
        <w:t xml:space="preserve"> Κρίνουμε ότι </w:t>
      </w:r>
      <w:r w:rsidR="00406B4D">
        <w:rPr>
          <w:rFonts w:ascii="Bookman Old Style" w:hAnsi="Bookman Old Style"/>
          <w:sz w:val="28"/>
          <w:szCs w:val="28"/>
          <w:lang w:val="el-GR"/>
        </w:rPr>
        <w:t xml:space="preserve">ήταν ορθό το εν λόγω συμπέρασμα του πρωτόδικου Δικαστηρίου. </w:t>
      </w:r>
    </w:p>
    <w:p w14:paraId="3BDA2390" w14:textId="74360FD8" w:rsidR="002F596D" w:rsidRDefault="00BE767D"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Ορθή επίσης </w:t>
      </w:r>
      <w:r w:rsidR="004D79F6">
        <w:rPr>
          <w:rFonts w:ascii="Bookman Old Style" w:hAnsi="Bookman Old Style"/>
          <w:sz w:val="28"/>
          <w:szCs w:val="28"/>
          <w:lang w:val="el-GR"/>
        </w:rPr>
        <w:t xml:space="preserve">κρίνεται και η αξιολόγηση από το πρωτόδικο Δικαστήριο του ΜΕ4, </w:t>
      </w:r>
      <w:r w:rsidR="00421B9A">
        <w:rPr>
          <w:rFonts w:ascii="Bookman Old Style" w:hAnsi="Bookman Old Style"/>
          <w:sz w:val="28"/>
          <w:szCs w:val="28"/>
          <w:lang w:val="el-GR"/>
        </w:rPr>
        <w:t>π</w:t>
      </w:r>
      <w:r w:rsidR="00547B22">
        <w:rPr>
          <w:rFonts w:ascii="Bookman Old Style" w:hAnsi="Bookman Old Style"/>
          <w:sz w:val="28"/>
          <w:szCs w:val="28"/>
          <w:lang w:val="el-GR"/>
        </w:rPr>
        <w:t xml:space="preserve">ροϊστάμενου </w:t>
      </w:r>
      <w:r w:rsidR="007350D0">
        <w:rPr>
          <w:rFonts w:ascii="Bookman Old Style" w:hAnsi="Bookman Old Style"/>
          <w:sz w:val="28"/>
          <w:szCs w:val="28"/>
          <w:lang w:val="el-GR"/>
        </w:rPr>
        <w:t xml:space="preserve">στο τμήμα συναλλαγών της ΕΤΕ </w:t>
      </w:r>
      <w:r w:rsidR="00094085">
        <w:rPr>
          <w:rFonts w:ascii="Bookman Old Style" w:hAnsi="Bookman Old Style"/>
          <w:sz w:val="28"/>
          <w:szCs w:val="28"/>
          <w:lang w:val="el-GR"/>
        </w:rPr>
        <w:t xml:space="preserve">και από το 2004 </w:t>
      </w:r>
      <w:r w:rsidR="00421B9A">
        <w:rPr>
          <w:rFonts w:ascii="Bookman Old Style" w:hAnsi="Bookman Old Style"/>
          <w:sz w:val="28"/>
          <w:szCs w:val="28"/>
          <w:lang w:val="el-GR"/>
        </w:rPr>
        <w:t>δ</w:t>
      </w:r>
      <w:r w:rsidR="00094085">
        <w:rPr>
          <w:rFonts w:ascii="Bookman Old Style" w:hAnsi="Bookman Old Style"/>
          <w:sz w:val="28"/>
          <w:szCs w:val="28"/>
          <w:lang w:val="el-GR"/>
        </w:rPr>
        <w:t xml:space="preserve">ιευθυντή </w:t>
      </w:r>
      <w:r w:rsidR="004D79F6">
        <w:rPr>
          <w:rFonts w:ascii="Bookman Old Style" w:hAnsi="Bookman Old Style"/>
          <w:sz w:val="28"/>
          <w:szCs w:val="28"/>
          <w:lang w:val="el-GR"/>
        </w:rPr>
        <w:t xml:space="preserve">της. Αποτελεί εισήγηση του Εφεσείοντα ότι το πρωτόδικο Δικαστήριο παρέλειψε να εξετάσει την αδυναμία του ΜΕ4 </w:t>
      </w:r>
      <w:r w:rsidR="007350D0">
        <w:rPr>
          <w:rFonts w:ascii="Bookman Old Style" w:hAnsi="Bookman Old Style"/>
          <w:sz w:val="28"/>
          <w:szCs w:val="28"/>
          <w:lang w:val="el-GR"/>
        </w:rPr>
        <w:t>να θυμηθεί το περιεχόμενο του πορίσματος και αντίστοιχα την αποστολή επιστολών από την Εφεσίβλητη προς το προσωπικό για το άνοιγμα τέτοιου επενδυτικού λογαριασμού, τον αριθμό χορήγησης τέτοιων δανείων και τ</w:t>
      </w:r>
      <w:r w:rsidR="004D79F6">
        <w:rPr>
          <w:rFonts w:ascii="Bookman Old Style" w:hAnsi="Bookman Old Style"/>
          <w:sz w:val="28"/>
          <w:szCs w:val="28"/>
          <w:lang w:val="el-GR"/>
        </w:rPr>
        <w:t>ι</w:t>
      </w:r>
      <w:r w:rsidR="007350D0">
        <w:rPr>
          <w:rFonts w:ascii="Bookman Old Style" w:hAnsi="Bookman Old Style"/>
          <w:sz w:val="28"/>
          <w:szCs w:val="28"/>
          <w:lang w:val="el-GR"/>
        </w:rPr>
        <w:t xml:space="preserve">ς εκδόσεις της ΕΤΕ κατά τον ουσιώδη χρόνο. </w:t>
      </w:r>
      <w:r w:rsidR="00094085">
        <w:rPr>
          <w:rFonts w:ascii="Bookman Old Style" w:hAnsi="Bookman Old Style"/>
          <w:sz w:val="28"/>
          <w:szCs w:val="28"/>
          <w:lang w:val="el-GR"/>
        </w:rPr>
        <w:t>Η</w:t>
      </w:r>
      <w:r w:rsidR="004D79F6">
        <w:rPr>
          <w:rFonts w:ascii="Bookman Old Style" w:hAnsi="Bookman Old Style"/>
          <w:sz w:val="28"/>
          <w:szCs w:val="28"/>
          <w:lang w:val="el-GR"/>
        </w:rPr>
        <w:t xml:space="preserve"> εν λόγω</w:t>
      </w:r>
      <w:r w:rsidR="00094085">
        <w:rPr>
          <w:rFonts w:ascii="Bookman Old Style" w:hAnsi="Bookman Old Style"/>
          <w:sz w:val="28"/>
          <w:szCs w:val="28"/>
          <w:lang w:val="el-GR"/>
        </w:rPr>
        <w:t xml:space="preserve"> εισήγηση δεν είναι ακριβής. Για το πόρισμα, ο μάρτυρας δήλωσε ότι είχε διαβάσει μέρος αυτού αλλά κάλεσε τον δικηγόρο του Εφεσείοντα να του το δώσει για να μπορεί να απαντήσει σε όποιες ερωτήσεις του </w:t>
      </w:r>
      <w:proofErr w:type="spellStart"/>
      <w:r w:rsidR="00356F91">
        <w:rPr>
          <w:rFonts w:ascii="Bookman Old Style" w:hAnsi="Bookman Old Style"/>
          <w:sz w:val="28"/>
          <w:szCs w:val="28"/>
          <w:lang w:val="el-GR"/>
        </w:rPr>
        <w:t>ε</w:t>
      </w:r>
      <w:r w:rsidR="00094085">
        <w:rPr>
          <w:rFonts w:ascii="Bookman Old Style" w:hAnsi="Bookman Old Style"/>
          <w:sz w:val="28"/>
          <w:szCs w:val="28"/>
          <w:lang w:val="el-GR"/>
        </w:rPr>
        <w:t>τίθεντο</w:t>
      </w:r>
      <w:proofErr w:type="spellEnd"/>
      <w:r w:rsidR="00094085">
        <w:rPr>
          <w:rFonts w:ascii="Bookman Old Style" w:hAnsi="Bookman Old Style"/>
          <w:sz w:val="28"/>
          <w:szCs w:val="28"/>
          <w:lang w:val="el-GR"/>
        </w:rPr>
        <w:t xml:space="preserve">. </w:t>
      </w:r>
      <w:r w:rsidR="00CB088F">
        <w:rPr>
          <w:rFonts w:ascii="Bookman Old Style" w:hAnsi="Bookman Old Style"/>
          <w:sz w:val="28"/>
          <w:szCs w:val="28"/>
          <w:lang w:val="el-GR"/>
        </w:rPr>
        <w:t>Άλλωστε, δεν αμφισβητείτο η ύπαρξη και το περιεχόμενο του πορίσματος</w:t>
      </w:r>
      <w:r w:rsidR="00F81CB8">
        <w:rPr>
          <w:rFonts w:ascii="Bookman Old Style" w:hAnsi="Bookman Old Style"/>
          <w:sz w:val="28"/>
          <w:szCs w:val="28"/>
          <w:lang w:val="el-GR"/>
        </w:rPr>
        <w:t xml:space="preserve"> το οποίο κατέθεσε </w:t>
      </w:r>
      <w:r w:rsidR="00421B9A">
        <w:rPr>
          <w:rFonts w:ascii="Bookman Old Style" w:hAnsi="Bookman Old Style"/>
          <w:sz w:val="28"/>
          <w:szCs w:val="28"/>
          <w:lang w:val="el-GR"/>
        </w:rPr>
        <w:t>α</w:t>
      </w:r>
      <w:r w:rsidR="00F81CB8">
        <w:rPr>
          <w:rFonts w:ascii="Bookman Old Style" w:hAnsi="Bookman Old Style"/>
          <w:sz w:val="28"/>
          <w:szCs w:val="28"/>
          <w:lang w:val="el-GR"/>
        </w:rPr>
        <w:t xml:space="preserve">νώτερος </w:t>
      </w:r>
      <w:r w:rsidR="00421B9A">
        <w:rPr>
          <w:rFonts w:ascii="Bookman Old Style" w:hAnsi="Bookman Old Style"/>
          <w:sz w:val="28"/>
          <w:szCs w:val="28"/>
          <w:lang w:val="el-GR"/>
        </w:rPr>
        <w:t>λ</w:t>
      </w:r>
      <w:r w:rsidR="00F81CB8">
        <w:rPr>
          <w:rFonts w:ascii="Bookman Old Style" w:hAnsi="Bookman Old Style"/>
          <w:sz w:val="28"/>
          <w:szCs w:val="28"/>
          <w:lang w:val="el-GR"/>
        </w:rPr>
        <w:t>ειτουργός της Επιτροπής Κεφαλαιαγοράς ο οποίος κλήθηκε ως μάρτυρας από τον Εφεσείοντα</w:t>
      </w:r>
      <w:r w:rsidR="00CB088F">
        <w:rPr>
          <w:rFonts w:ascii="Bookman Old Style" w:hAnsi="Bookman Old Style"/>
          <w:sz w:val="28"/>
          <w:szCs w:val="28"/>
          <w:lang w:val="el-GR"/>
        </w:rPr>
        <w:t xml:space="preserve">. </w:t>
      </w:r>
      <w:r w:rsidR="00094085">
        <w:rPr>
          <w:rFonts w:ascii="Bookman Old Style" w:hAnsi="Bookman Old Style"/>
          <w:sz w:val="28"/>
          <w:szCs w:val="28"/>
          <w:lang w:val="el-GR"/>
        </w:rPr>
        <w:t xml:space="preserve">Επίσης, όταν υπεδείχθη </w:t>
      </w:r>
      <w:r w:rsidR="002C6AAC">
        <w:rPr>
          <w:rFonts w:ascii="Bookman Old Style" w:hAnsi="Bookman Old Style"/>
          <w:sz w:val="28"/>
          <w:szCs w:val="28"/>
          <w:lang w:val="el-GR"/>
        </w:rPr>
        <w:t xml:space="preserve">στον ΜΕ4 </w:t>
      </w:r>
      <w:r w:rsidR="00094085">
        <w:rPr>
          <w:rFonts w:ascii="Bookman Old Style" w:hAnsi="Bookman Old Style"/>
          <w:sz w:val="28"/>
          <w:szCs w:val="28"/>
          <w:lang w:val="el-GR"/>
        </w:rPr>
        <w:t>εσωτερικό σημείωμα προς το προσωπικό της Εφεσίβλητης για το άνοιγμα επενδυτικού λογαριασμού, αυτός το αναγνώρισε και δήλωσε ότι λογικά πρέπει να το έλαβε</w:t>
      </w:r>
      <w:r w:rsidR="00AC24F7">
        <w:rPr>
          <w:rFonts w:ascii="Bookman Old Style" w:hAnsi="Bookman Old Style"/>
          <w:sz w:val="28"/>
          <w:szCs w:val="28"/>
          <w:lang w:val="el-GR"/>
        </w:rPr>
        <w:t>,</w:t>
      </w:r>
      <w:r w:rsidR="00094085">
        <w:rPr>
          <w:rFonts w:ascii="Bookman Old Style" w:hAnsi="Bookman Old Style"/>
          <w:sz w:val="28"/>
          <w:szCs w:val="28"/>
          <w:lang w:val="el-GR"/>
        </w:rPr>
        <w:t xml:space="preserve"> όμως δεν ήταν σε θέση να θυμηθεί κάτι τέτοιο</w:t>
      </w:r>
      <w:r w:rsidR="008C2539">
        <w:rPr>
          <w:rFonts w:ascii="Bookman Old Style" w:hAnsi="Bookman Old Style"/>
          <w:sz w:val="28"/>
          <w:szCs w:val="28"/>
          <w:lang w:val="el-GR"/>
        </w:rPr>
        <w:t xml:space="preserve"> </w:t>
      </w:r>
      <w:r w:rsidR="008E22C7">
        <w:rPr>
          <w:rFonts w:ascii="Bookman Old Style" w:hAnsi="Bookman Old Style"/>
          <w:sz w:val="28"/>
          <w:szCs w:val="28"/>
          <w:lang w:val="el-GR"/>
        </w:rPr>
        <w:t xml:space="preserve">επισημαίνοντας </w:t>
      </w:r>
      <w:r w:rsidR="00213B00">
        <w:rPr>
          <w:rFonts w:ascii="Bookman Old Style" w:hAnsi="Bookman Old Style"/>
          <w:sz w:val="28"/>
          <w:szCs w:val="28"/>
          <w:lang w:val="el-GR"/>
        </w:rPr>
        <w:t xml:space="preserve">ότι </w:t>
      </w:r>
      <w:r w:rsidR="008C2539">
        <w:rPr>
          <w:rFonts w:ascii="Bookman Old Style" w:hAnsi="Bookman Old Style"/>
          <w:sz w:val="28"/>
          <w:szCs w:val="28"/>
          <w:lang w:val="el-GR"/>
        </w:rPr>
        <w:t xml:space="preserve">εν πάση περιπτώσει ο ίδιος δεν </w:t>
      </w:r>
      <w:r w:rsidR="008C2539">
        <w:rPr>
          <w:rFonts w:ascii="Bookman Old Style" w:hAnsi="Bookman Old Style"/>
          <w:sz w:val="28"/>
          <w:szCs w:val="28"/>
          <w:lang w:val="el-GR"/>
        </w:rPr>
        <w:lastRenderedPageBreak/>
        <w:t>ενδιαφερόταν να προβεί σε τέτοια ενέργεια</w:t>
      </w:r>
      <w:r w:rsidR="00094085">
        <w:rPr>
          <w:rFonts w:ascii="Bookman Old Style" w:hAnsi="Bookman Old Style"/>
          <w:sz w:val="28"/>
          <w:szCs w:val="28"/>
          <w:lang w:val="el-GR"/>
        </w:rPr>
        <w:t xml:space="preserve">. </w:t>
      </w:r>
      <w:r w:rsidR="003A584F">
        <w:rPr>
          <w:rFonts w:ascii="Bookman Old Style" w:hAnsi="Bookman Old Style"/>
          <w:sz w:val="28"/>
          <w:szCs w:val="28"/>
          <w:lang w:val="el-GR"/>
        </w:rPr>
        <w:t>Κρίνουμε ότι τ</w:t>
      </w:r>
      <w:r w:rsidR="00094085">
        <w:rPr>
          <w:rFonts w:ascii="Bookman Old Style" w:hAnsi="Bookman Old Style"/>
          <w:sz w:val="28"/>
          <w:szCs w:val="28"/>
          <w:lang w:val="el-GR"/>
        </w:rPr>
        <w:t xml:space="preserve">ο πρωτόδικο Δικαστήριο ορθά κατέληξε ότι ο εν λόγω μάρτυρας ήταν θετικός, έδινε ευθείς απαντήσεις </w:t>
      </w:r>
      <w:r w:rsidR="00A629BC">
        <w:rPr>
          <w:rFonts w:ascii="Bookman Old Style" w:hAnsi="Bookman Old Style"/>
          <w:sz w:val="28"/>
          <w:szCs w:val="28"/>
          <w:lang w:val="el-GR"/>
        </w:rPr>
        <w:t xml:space="preserve">χωρίς περιστροφές </w:t>
      </w:r>
      <w:r w:rsidR="00094085">
        <w:rPr>
          <w:rFonts w:ascii="Bookman Old Style" w:hAnsi="Bookman Old Style"/>
          <w:sz w:val="28"/>
          <w:szCs w:val="28"/>
          <w:lang w:val="el-GR"/>
        </w:rPr>
        <w:t xml:space="preserve">και η μαρτυρία του δεν </w:t>
      </w:r>
      <w:r w:rsidR="001A2414">
        <w:rPr>
          <w:rFonts w:ascii="Bookman Old Style" w:hAnsi="Bookman Old Style"/>
          <w:sz w:val="28"/>
          <w:szCs w:val="28"/>
          <w:lang w:val="el-GR"/>
        </w:rPr>
        <w:t>ερχόταν</w:t>
      </w:r>
      <w:r w:rsidR="00094085">
        <w:rPr>
          <w:rFonts w:ascii="Bookman Old Style" w:hAnsi="Bookman Old Style"/>
          <w:sz w:val="28"/>
          <w:szCs w:val="28"/>
          <w:lang w:val="el-GR"/>
        </w:rPr>
        <w:t xml:space="preserve"> σε αντίφαση με οποιοδήποτε τεκμήριο. </w:t>
      </w:r>
    </w:p>
    <w:p w14:paraId="70D5619C" w14:textId="530E6A9A" w:rsidR="005C45DE" w:rsidRDefault="008C2539"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Εφεσείων εισηγείται ότι το πρωτόδικο Δικαστήριο λανθασμένα έκρινε ως αξιόπιστη </w:t>
      </w:r>
      <w:r w:rsidR="00900E64">
        <w:rPr>
          <w:rFonts w:ascii="Bookman Old Style" w:hAnsi="Bookman Old Style"/>
          <w:sz w:val="28"/>
          <w:szCs w:val="28"/>
          <w:lang w:val="el-GR"/>
        </w:rPr>
        <w:t xml:space="preserve">και </w:t>
      </w:r>
      <w:r>
        <w:rPr>
          <w:rFonts w:ascii="Bookman Old Style" w:hAnsi="Bookman Old Style"/>
          <w:sz w:val="28"/>
          <w:szCs w:val="28"/>
          <w:lang w:val="el-GR"/>
        </w:rPr>
        <w:t>τη μαρτυρία του ΜΕ6</w:t>
      </w:r>
      <w:r w:rsidR="00A90247">
        <w:rPr>
          <w:rFonts w:ascii="Bookman Old Style" w:hAnsi="Bookman Old Style"/>
          <w:sz w:val="28"/>
          <w:szCs w:val="28"/>
          <w:lang w:val="el-GR"/>
        </w:rPr>
        <w:t xml:space="preserve">, υπαλλήλου </w:t>
      </w:r>
      <w:r w:rsidR="002F07DC">
        <w:rPr>
          <w:rFonts w:ascii="Bookman Old Style" w:hAnsi="Bookman Old Style"/>
          <w:sz w:val="28"/>
          <w:szCs w:val="28"/>
          <w:lang w:val="el-GR"/>
        </w:rPr>
        <w:t xml:space="preserve">και υπεύθυνου διατήρησης και φύλαξης αρχείου </w:t>
      </w:r>
      <w:r w:rsidR="00A90247">
        <w:rPr>
          <w:rFonts w:ascii="Bookman Old Style" w:hAnsi="Bookman Old Style"/>
          <w:sz w:val="28"/>
          <w:szCs w:val="28"/>
          <w:lang w:val="el-GR"/>
        </w:rPr>
        <w:t>στην ΕΤΕ</w:t>
      </w:r>
      <w:r w:rsidR="00440941">
        <w:rPr>
          <w:rFonts w:ascii="Bookman Old Style" w:hAnsi="Bookman Old Style"/>
          <w:sz w:val="28"/>
          <w:szCs w:val="28"/>
          <w:lang w:val="el-GR"/>
        </w:rPr>
        <w:t xml:space="preserve">. Αυτός κατέθεσε δισκάκι με τις εντολές του Εφεσείοντα προς την ΕΤΕ και </w:t>
      </w:r>
      <w:r w:rsidR="00BF3322">
        <w:rPr>
          <w:rFonts w:ascii="Bookman Old Style" w:hAnsi="Bookman Old Style"/>
          <w:sz w:val="28"/>
          <w:szCs w:val="28"/>
          <w:lang w:val="el-GR"/>
        </w:rPr>
        <w:t xml:space="preserve">ειδικότερα </w:t>
      </w:r>
      <w:r w:rsidR="00440941">
        <w:rPr>
          <w:rFonts w:ascii="Bookman Old Style" w:hAnsi="Bookman Old Style"/>
          <w:sz w:val="28"/>
          <w:szCs w:val="28"/>
          <w:lang w:val="el-GR"/>
        </w:rPr>
        <w:t xml:space="preserve">τον ΜΕ7 για την αγοραπωλησία μετοχών. Η θέση του Εφεσείοντα ότι ζητήθηκε από τον ΜΕ6 να καταθέσει όλες τις εντολές </w:t>
      </w:r>
      <w:r w:rsidR="00700766">
        <w:rPr>
          <w:rFonts w:ascii="Bookman Old Style" w:hAnsi="Bookman Old Style"/>
          <w:sz w:val="28"/>
          <w:szCs w:val="28"/>
          <w:lang w:val="el-GR"/>
        </w:rPr>
        <w:t>δεν βρίσκει έρεισμα στα πρακτικά. Ζητήθηκε μεν η κατάθεση</w:t>
      </w:r>
      <w:r w:rsidR="00134D2F">
        <w:rPr>
          <w:rFonts w:ascii="Bookman Old Style" w:hAnsi="Bookman Old Style"/>
          <w:sz w:val="28"/>
          <w:szCs w:val="28"/>
          <w:lang w:val="el-GR"/>
        </w:rPr>
        <w:t>,</w:t>
      </w:r>
      <w:r w:rsidR="00700766">
        <w:rPr>
          <w:rFonts w:ascii="Bookman Old Style" w:hAnsi="Bookman Old Style"/>
          <w:sz w:val="28"/>
          <w:szCs w:val="28"/>
          <w:lang w:val="el-GR"/>
        </w:rPr>
        <w:t xml:space="preserve"> </w:t>
      </w:r>
      <w:r w:rsidR="00552368">
        <w:rPr>
          <w:rFonts w:ascii="Bookman Old Style" w:hAnsi="Bookman Old Style"/>
          <w:sz w:val="28"/>
          <w:szCs w:val="28"/>
          <w:lang w:val="el-GR"/>
        </w:rPr>
        <w:t xml:space="preserve">ακολούθησε </w:t>
      </w:r>
      <w:r w:rsidR="00B01B9C">
        <w:rPr>
          <w:rFonts w:ascii="Bookman Old Style" w:hAnsi="Bookman Old Style"/>
          <w:sz w:val="28"/>
          <w:szCs w:val="28"/>
          <w:lang w:val="el-GR"/>
        </w:rPr>
        <w:t>μια στιχομυθία μεταξύ των δικηγόρων των δύο πλευρών</w:t>
      </w:r>
      <w:r w:rsidR="00BF3322">
        <w:rPr>
          <w:rFonts w:ascii="Bookman Old Style" w:hAnsi="Bookman Old Style"/>
          <w:sz w:val="28"/>
          <w:szCs w:val="28"/>
          <w:lang w:val="el-GR"/>
        </w:rPr>
        <w:t>,</w:t>
      </w:r>
      <w:r w:rsidR="00B01B9C">
        <w:rPr>
          <w:rFonts w:ascii="Bookman Old Style" w:hAnsi="Bookman Old Style"/>
          <w:sz w:val="28"/>
          <w:szCs w:val="28"/>
          <w:lang w:val="el-GR"/>
        </w:rPr>
        <w:t xml:space="preserve"> </w:t>
      </w:r>
      <w:r w:rsidR="00700766">
        <w:rPr>
          <w:rFonts w:ascii="Bookman Old Style" w:hAnsi="Bookman Old Style"/>
          <w:sz w:val="28"/>
          <w:szCs w:val="28"/>
          <w:lang w:val="el-GR"/>
        </w:rPr>
        <w:t xml:space="preserve">όμως το ζήτημα έμεινε ως εκεί χωρίς </w:t>
      </w:r>
      <w:r w:rsidR="00B01B9C">
        <w:rPr>
          <w:rFonts w:ascii="Bookman Old Style" w:hAnsi="Bookman Old Style"/>
          <w:sz w:val="28"/>
          <w:szCs w:val="28"/>
          <w:lang w:val="el-GR"/>
        </w:rPr>
        <w:t xml:space="preserve">η υπεράσπιση να δώσει συνέχεια και </w:t>
      </w:r>
      <w:r w:rsidR="000C08EA">
        <w:rPr>
          <w:rFonts w:ascii="Bookman Old Style" w:hAnsi="Bookman Old Style"/>
          <w:sz w:val="28"/>
          <w:szCs w:val="28"/>
          <w:lang w:val="el-GR"/>
        </w:rPr>
        <w:t xml:space="preserve">να </w:t>
      </w:r>
      <w:r w:rsidR="00B01B9C">
        <w:rPr>
          <w:rFonts w:ascii="Bookman Old Style" w:hAnsi="Bookman Old Style"/>
          <w:sz w:val="28"/>
          <w:szCs w:val="28"/>
          <w:lang w:val="el-GR"/>
        </w:rPr>
        <w:t xml:space="preserve">επιμείνει στο αίτημα </w:t>
      </w:r>
      <w:r w:rsidR="00205B79">
        <w:rPr>
          <w:rFonts w:ascii="Bookman Old Style" w:hAnsi="Bookman Old Style"/>
          <w:sz w:val="28"/>
          <w:szCs w:val="28"/>
          <w:lang w:val="el-GR"/>
        </w:rPr>
        <w:t xml:space="preserve">της, συνεχίζοντας και ολοκληρώνοντας την </w:t>
      </w:r>
      <w:proofErr w:type="spellStart"/>
      <w:r w:rsidR="00205B79">
        <w:rPr>
          <w:rFonts w:ascii="Bookman Old Style" w:hAnsi="Bookman Old Style"/>
          <w:sz w:val="28"/>
          <w:szCs w:val="28"/>
          <w:lang w:val="el-GR"/>
        </w:rPr>
        <w:t>αντεξέταση</w:t>
      </w:r>
      <w:proofErr w:type="spellEnd"/>
      <w:r w:rsidR="00205B79">
        <w:rPr>
          <w:rFonts w:ascii="Bookman Old Style" w:hAnsi="Bookman Old Style"/>
          <w:sz w:val="28"/>
          <w:szCs w:val="28"/>
          <w:lang w:val="el-GR"/>
        </w:rPr>
        <w:t xml:space="preserve"> χωρίς να εγείρει ξανά το ζήτημα</w:t>
      </w:r>
      <w:r w:rsidR="00B01B9C">
        <w:rPr>
          <w:rFonts w:ascii="Bookman Old Style" w:hAnsi="Bookman Old Style"/>
          <w:sz w:val="28"/>
          <w:szCs w:val="28"/>
          <w:lang w:val="el-GR"/>
        </w:rPr>
        <w:t xml:space="preserve">. </w:t>
      </w:r>
    </w:p>
    <w:p w14:paraId="0444CFD0" w14:textId="77777777" w:rsidR="00047D1D" w:rsidRPr="00883790" w:rsidRDefault="00B01B9C"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δέχθηκε τη μαρτυρία του ΜΕ6 και </w:t>
      </w:r>
      <w:r w:rsidR="00C25018">
        <w:rPr>
          <w:rFonts w:ascii="Bookman Old Style" w:hAnsi="Bookman Old Style"/>
          <w:sz w:val="28"/>
          <w:szCs w:val="28"/>
          <w:lang w:val="el-GR"/>
        </w:rPr>
        <w:t>τις αναφορές του για τη</w:t>
      </w:r>
      <w:r>
        <w:rPr>
          <w:rFonts w:ascii="Bookman Old Style" w:hAnsi="Bookman Old Style"/>
          <w:sz w:val="28"/>
          <w:szCs w:val="28"/>
          <w:lang w:val="el-GR"/>
        </w:rPr>
        <w:t xml:space="preserve"> δυσκολία που είχε να εξεύρει και μεταφέρει όλες τις εντολές από το σύστημα στο δισκάκι. Η εισήγηση της υπεράσπισης ότι το πρωτόδικο Δικαστήριο έκρινε πως αυτή αμφισβήτησε τον μεγάλο αριθμό εντολών και πάλι δεν βρίσκει </w:t>
      </w:r>
      <w:r>
        <w:rPr>
          <w:rFonts w:ascii="Bookman Old Style" w:hAnsi="Bookman Old Style"/>
          <w:sz w:val="28"/>
          <w:szCs w:val="28"/>
          <w:lang w:val="el-GR"/>
        </w:rPr>
        <w:lastRenderedPageBreak/>
        <w:t xml:space="preserve">έρεισμα στην </w:t>
      </w:r>
      <w:r w:rsidR="00644E96">
        <w:rPr>
          <w:rFonts w:ascii="Bookman Old Style" w:hAnsi="Bookman Old Style"/>
          <w:sz w:val="28"/>
          <w:szCs w:val="28"/>
          <w:lang w:val="el-GR"/>
        </w:rPr>
        <w:t xml:space="preserve">ίδια την </w:t>
      </w:r>
      <w:r>
        <w:rPr>
          <w:rFonts w:ascii="Bookman Old Style" w:hAnsi="Bookman Old Style"/>
          <w:sz w:val="28"/>
          <w:szCs w:val="28"/>
          <w:lang w:val="el-GR"/>
        </w:rPr>
        <w:t>απόφαση</w:t>
      </w:r>
      <w:r w:rsidR="00644E96">
        <w:rPr>
          <w:rFonts w:ascii="Bookman Old Style" w:hAnsi="Bookman Old Style"/>
          <w:sz w:val="28"/>
          <w:szCs w:val="28"/>
          <w:lang w:val="el-GR"/>
        </w:rPr>
        <w:t xml:space="preserve">. </w:t>
      </w:r>
      <w:r w:rsidR="00047D1D">
        <w:rPr>
          <w:rFonts w:ascii="Bookman Old Style" w:hAnsi="Bookman Old Style"/>
          <w:sz w:val="28"/>
          <w:szCs w:val="28"/>
          <w:lang w:val="el-GR"/>
        </w:rPr>
        <w:t xml:space="preserve"> Επί τούτου τ</w:t>
      </w:r>
      <w:r w:rsidR="00644E96">
        <w:rPr>
          <w:rFonts w:ascii="Bookman Old Style" w:hAnsi="Bookman Old Style"/>
          <w:sz w:val="28"/>
          <w:szCs w:val="28"/>
          <w:lang w:val="el-GR"/>
        </w:rPr>
        <w:t xml:space="preserve">ο </w:t>
      </w:r>
      <w:r>
        <w:rPr>
          <w:rFonts w:ascii="Bookman Old Style" w:hAnsi="Bookman Old Style"/>
          <w:sz w:val="28"/>
          <w:szCs w:val="28"/>
          <w:lang w:val="el-GR"/>
        </w:rPr>
        <w:t xml:space="preserve">πρωτόδικο Δικαστήριο </w:t>
      </w:r>
      <w:r w:rsidR="00047D1D">
        <w:rPr>
          <w:rFonts w:ascii="Bookman Old Style" w:hAnsi="Bookman Old Style"/>
          <w:sz w:val="28"/>
          <w:szCs w:val="28"/>
          <w:lang w:val="el-GR"/>
        </w:rPr>
        <w:t>εύστοχα ανέφερε τα εξής</w:t>
      </w:r>
      <w:r w:rsidR="00047D1D" w:rsidRPr="00883790">
        <w:rPr>
          <w:rFonts w:ascii="Bookman Old Style" w:hAnsi="Bookman Old Style"/>
          <w:sz w:val="28"/>
          <w:szCs w:val="28"/>
          <w:lang w:val="el-GR"/>
        </w:rPr>
        <w:t>:</w:t>
      </w:r>
    </w:p>
    <w:p w14:paraId="614D991C" w14:textId="6F9A1D1D" w:rsidR="00B01B9C" w:rsidRDefault="00B01B9C" w:rsidP="008F12AD">
      <w:pPr>
        <w:spacing w:line="240" w:lineRule="auto"/>
        <w:ind w:left="567"/>
        <w:jc w:val="both"/>
        <w:rPr>
          <w:rFonts w:ascii="Bookman Old Style" w:hAnsi="Bookman Old Style"/>
          <w:sz w:val="28"/>
          <w:szCs w:val="28"/>
          <w:lang w:val="el-GR"/>
        </w:rPr>
      </w:pPr>
      <w:r>
        <w:rPr>
          <w:rFonts w:ascii="Bookman Old Style" w:hAnsi="Bookman Old Style"/>
          <w:sz w:val="28"/>
          <w:szCs w:val="28"/>
          <w:lang w:val="el-GR"/>
        </w:rPr>
        <w:t>«</w:t>
      </w:r>
      <w:r w:rsidR="00B97206">
        <w:rPr>
          <w:rFonts w:ascii="Bookman Old Style" w:hAnsi="Bookman Old Style"/>
          <w:i/>
          <w:iCs/>
          <w:sz w:val="28"/>
          <w:szCs w:val="28"/>
          <w:lang w:val="el-GR"/>
        </w:rPr>
        <w:t xml:space="preserve">Η προσπάθεια της Υπεράσπισης, για </w:t>
      </w:r>
      <w:r w:rsidR="00AC24F7">
        <w:rPr>
          <w:rFonts w:ascii="Bookman Old Style" w:hAnsi="Bookman Old Style"/>
          <w:i/>
          <w:iCs/>
          <w:sz w:val="28"/>
          <w:szCs w:val="28"/>
          <w:lang w:val="el-GR"/>
        </w:rPr>
        <w:t>να</w:t>
      </w:r>
      <w:r w:rsidR="00B97206">
        <w:rPr>
          <w:rFonts w:ascii="Bookman Old Style" w:hAnsi="Bookman Old Style"/>
          <w:i/>
          <w:iCs/>
          <w:sz w:val="28"/>
          <w:szCs w:val="28"/>
          <w:lang w:val="el-GR"/>
        </w:rPr>
        <w:t xml:space="preserve"> αποδειχθεί ότι παρουσίασε στο Δικαστήριο μέρος των εντολών που ο Εναγόμενος έδωσε για την αγορά ή πώληση μετοχών του στο ΧΑΚ, απέτυχε για το λόγο ότι δεν αμφισβητήθηκε αλλά ούτε και δόθηκε μαρτυρία από τον Μ.Υ.6 ότι </w:t>
      </w:r>
      <w:r w:rsidRPr="00B01B9C">
        <w:rPr>
          <w:rFonts w:ascii="Bookman Old Style" w:hAnsi="Bookman Old Style"/>
          <w:i/>
          <w:iCs/>
          <w:sz w:val="28"/>
          <w:szCs w:val="28"/>
          <w:lang w:val="el-GR"/>
        </w:rPr>
        <w:t>δεν υπήρχε μεγάλος αριθμός εντολών στο καταγραφικό της ΕΤΕ</w:t>
      </w:r>
      <w:r>
        <w:rPr>
          <w:rFonts w:ascii="Bookman Old Style" w:hAnsi="Bookman Old Style"/>
          <w:sz w:val="28"/>
          <w:szCs w:val="28"/>
          <w:lang w:val="el-GR"/>
        </w:rPr>
        <w:t xml:space="preserve">». </w:t>
      </w:r>
    </w:p>
    <w:p w14:paraId="52F9FDC6" w14:textId="77777777" w:rsidR="008F12AD" w:rsidRDefault="008F12AD" w:rsidP="008F12AD">
      <w:pPr>
        <w:spacing w:after="0" w:line="240" w:lineRule="auto"/>
        <w:ind w:left="567"/>
        <w:jc w:val="both"/>
        <w:rPr>
          <w:rFonts w:ascii="Bookman Old Style" w:hAnsi="Bookman Old Style"/>
          <w:sz w:val="28"/>
          <w:szCs w:val="28"/>
          <w:lang w:val="el-GR"/>
        </w:rPr>
      </w:pPr>
    </w:p>
    <w:p w14:paraId="0C6D6CA9" w14:textId="590ACED3" w:rsidR="00D54728" w:rsidRDefault="008F444C"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Παρόλο που η υπεράσπιση κάλεσε τον ΜΥ6 ως ειδικό για να περιγράψει το σύστημα και τη δυνατότητα μεταφοράς των εντολών, εντούτοις το πρωτόδικο Δικαστήριο δέχθηκε μεν τη μαρτυρία του αλλά ορθά κατέληξε ότι αυτή δεν αντέκρουε</w:t>
      </w:r>
      <w:r w:rsidR="00AC24F7">
        <w:rPr>
          <w:rFonts w:ascii="Bookman Old Style" w:hAnsi="Bookman Old Style"/>
          <w:sz w:val="28"/>
          <w:szCs w:val="28"/>
          <w:lang w:val="el-GR"/>
        </w:rPr>
        <w:t xml:space="preserve"> τη</w:t>
      </w:r>
      <w:r>
        <w:rPr>
          <w:rFonts w:ascii="Bookman Old Style" w:hAnsi="Bookman Old Style"/>
          <w:sz w:val="28"/>
          <w:szCs w:val="28"/>
          <w:lang w:val="el-GR"/>
        </w:rPr>
        <w:t xml:space="preserve"> </w:t>
      </w:r>
      <w:r w:rsidR="00624AB9">
        <w:rPr>
          <w:rFonts w:ascii="Bookman Old Style" w:hAnsi="Bookman Old Style"/>
          <w:sz w:val="28"/>
          <w:szCs w:val="28"/>
          <w:lang w:val="el-GR"/>
        </w:rPr>
        <w:t xml:space="preserve">μαρτυρία του ΜΕ6. Πράγματι, παρόλο που ο ΜΥ6 ανέφερε ότι υπήρχε η δυνατότητα εντοπισμού των εντολών </w:t>
      </w:r>
      <w:r w:rsidR="00001508">
        <w:rPr>
          <w:rFonts w:ascii="Bookman Old Style" w:hAnsi="Bookman Old Style"/>
          <w:sz w:val="28"/>
          <w:szCs w:val="28"/>
          <w:lang w:val="el-GR"/>
        </w:rPr>
        <w:t>σε συντομότερο χρονικό διάστημα</w:t>
      </w:r>
      <w:r w:rsidR="00720799">
        <w:rPr>
          <w:rFonts w:ascii="Bookman Old Style" w:hAnsi="Bookman Old Style"/>
          <w:sz w:val="28"/>
          <w:szCs w:val="28"/>
          <w:lang w:val="el-GR"/>
        </w:rPr>
        <w:t>,</w:t>
      </w:r>
      <w:r w:rsidR="00001508">
        <w:rPr>
          <w:rFonts w:ascii="Bookman Old Style" w:hAnsi="Bookman Old Style"/>
          <w:sz w:val="28"/>
          <w:szCs w:val="28"/>
          <w:lang w:val="el-GR"/>
        </w:rPr>
        <w:t xml:space="preserve"> εντούτοις</w:t>
      </w:r>
      <w:r w:rsidR="00AE6AD2">
        <w:rPr>
          <w:rFonts w:ascii="Bookman Old Style" w:hAnsi="Bookman Old Style"/>
          <w:sz w:val="28"/>
          <w:szCs w:val="28"/>
          <w:lang w:val="el-GR"/>
        </w:rPr>
        <w:t xml:space="preserve">, </w:t>
      </w:r>
      <w:r w:rsidR="00AE6AD2" w:rsidRPr="00246A11">
        <w:rPr>
          <w:rFonts w:ascii="Bookman Old Style" w:hAnsi="Bookman Old Style"/>
          <w:sz w:val="28"/>
          <w:szCs w:val="28"/>
          <w:lang w:val="el-GR"/>
        </w:rPr>
        <w:t>σε</w:t>
      </w:r>
      <w:r w:rsidR="00246A11">
        <w:rPr>
          <w:rFonts w:ascii="Bookman Old Style" w:hAnsi="Bookman Old Style"/>
          <w:sz w:val="28"/>
          <w:szCs w:val="28"/>
          <w:lang w:val="el-GR"/>
        </w:rPr>
        <w:t xml:space="preserve"> σχετικές ερωτήσεις που του υποβλήθηκαν κατά την </w:t>
      </w:r>
      <w:proofErr w:type="spellStart"/>
      <w:r w:rsidR="00246A11">
        <w:rPr>
          <w:rFonts w:ascii="Bookman Old Style" w:hAnsi="Bookman Old Style"/>
          <w:sz w:val="28"/>
          <w:szCs w:val="28"/>
          <w:lang w:val="el-GR"/>
        </w:rPr>
        <w:t>αντεξέταση</w:t>
      </w:r>
      <w:proofErr w:type="spellEnd"/>
      <w:r w:rsidR="00246A11">
        <w:rPr>
          <w:rFonts w:ascii="Bookman Old Style" w:hAnsi="Bookman Old Style"/>
          <w:sz w:val="28"/>
          <w:szCs w:val="28"/>
          <w:lang w:val="el-GR"/>
        </w:rPr>
        <w:t xml:space="preserve"> του δήλωσε άγνοια ακόμα και για τον τρόπο που ήταν δυνατό να εντοπιστούν οι εντολές μιας συγκεκριμένης μέρας, χωρίς όμως </w:t>
      </w:r>
      <w:r w:rsidR="006E24B8">
        <w:rPr>
          <w:rFonts w:ascii="Bookman Old Style" w:hAnsi="Bookman Old Style"/>
          <w:sz w:val="28"/>
          <w:szCs w:val="28"/>
          <w:lang w:val="el-GR"/>
        </w:rPr>
        <w:t xml:space="preserve">γενικά </w:t>
      </w:r>
      <w:r w:rsidR="00246A11">
        <w:rPr>
          <w:rFonts w:ascii="Bookman Old Style" w:hAnsi="Bookman Old Style"/>
          <w:sz w:val="28"/>
          <w:szCs w:val="28"/>
          <w:lang w:val="el-GR"/>
        </w:rPr>
        <w:t>να δώσει απαντήσεις οι οποίες αναιρούσαν ή κατέρριπταν τη μαρτυρία του ΜΕ6</w:t>
      </w:r>
      <w:r w:rsidR="00D54728" w:rsidRPr="00246A11">
        <w:rPr>
          <w:rFonts w:ascii="Bookman Old Style" w:hAnsi="Bookman Old Style"/>
          <w:sz w:val="28"/>
          <w:szCs w:val="28"/>
          <w:lang w:val="el-GR"/>
        </w:rPr>
        <w:t>.</w:t>
      </w:r>
      <w:r w:rsidR="00D54728">
        <w:rPr>
          <w:rFonts w:ascii="Bookman Old Style" w:hAnsi="Bookman Old Style"/>
          <w:sz w:val="28"/>
          <w:szCs w:val="28"/>
          <w:lang w:val="el-GR"/>
        </w:rPr>
        <w:t xml:space="preserve"> </w:t>
      </w:r>
    </w:p>
    <w:p w14:paraId="6843FCB7" w14:textId="7520C89C" w:rsidR="009465A8" w:rsidRDefault="00001508"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 </w:t>
      </w:r>
      <w:r w:rsidR="00A13CE1">
        <w:rPr>
          <w:rFonts w:ascii="Bookman Old Style" w:hAnsi="Bookman Old Style"/>
          <w:sz w:val="28"/>
          <w:szCs w:val="28"/>
          <w:lang w:val="el-GR"/>
        </w:rPr>
        <w:t xml:space="preserve">Αποτελεί εισήγηση του Εφεσείοντα ότι το πρωτόδικο Δικαστήριο παρέλειψε να εκτιμήσει το γεγονός ότι ο </w:t>
      </w:r>
      <w:r w:rsidR="00102907">
        <w:rPr>
          <w:rFonts w:ascii="Bookman Old Style" w:hAnsi="Bookman Old Style"/>
          <w:sz w:val="28"/>
          <w:szCs w:val="28"/>
          <w:lang w:val="el-GR"/>
        </w:rPr>
        <w:t>ΜΕ7, υπ</w:t>
      </w:r>
      <w:r w:rsidR="00A13CE1">
        <w:rPr>
          <w:rFonts w:ascii="Bookman Old Style" w:hAnsi="Bookman Old Style"/>
          <w:sz w:val="28"/>
          <w:szCs w:val="28"/>
          <w:lang w:val="el-GR"/>
        </w:rPr>
        <w:t xml:space="preserve">άλληλος στην </w:t>
      </w:r>
      <w:r w:rsidR="00102907">
        <w:rPr>
          <w:rFonts w:ascii="Bookman Old Style" w:hAnsi="Bookman Old Style"/>
          <w:sz w:val="28"/>
          <w:szCs w:val="28"/>
          <w:lang w:val="el-GR"/>
        </w:rPr>
        <w:t>ΕΤΕ ο οποίος εκτελούσε τις εντολές για αγοραπωλησία των μετοχών στο ΧΑΚ</w:t>
      </w:r>
      <w:r w:rsidR="00A13CE1">
        <w:rPr>
          <w:rFonts w:ascii="Bookman Old Style" w:hAnsi="Bookman Old Style"/>
          <w:sz w:val="28"/>
          <w:szCs w:val="28"/>
          <w:lang w:val="el-GR"/>
        </w:rPr>
        <w:t xml:space="preserve">, ήταν βοηθός χρηματιστής και δεν δικαιούτο να δίνει συμβουλές </w:t>
      </w:r>
      <w:r w:rsidR="00A13CE1">
        <w:rPr>
          <w:rFonts w:ascii="Bookman Old Style" w:hAnsi="Bookman Old Style"/>
          <w:sz w:val="28"/>
          <w:szCs w:val="28"/>
          <w:lang w:val="el-GR"/>
        </w:rPr>
        <w:lastRenderedPageBreak/>
        <w:t>και πληροφορίες σχετικά με εταιρείες στο ΧΑΚ</w:t>
      </w:r>
      <w:r w:rsidR="00102907">
        <w:rPr>
          <w:rFonts w:ascii="Bookman Old Style" w:hAnsi="Bookman Old Style"/>
          <w:sz w:val="28"/>
          <w:szCs w:val="28"/>
          <w:lang w:val="el-GR"/>
        </w:rPr>
        <w:t xml:space="preserve">. Το γεγονός ότι ο ΜΕ7 ήταν βοηθός χρηματιστής δεν επηρεάζει την αξιοπιστία του καθότι ορθά κρίθηκε ότι δεν έδινε συμβουλές, κάτι το οποίο </w:t>
      </w:r>
      <w:r w:rsidR="000458DA">
        <w:rPr>
          <w:rFonts w:ascii="Bookman Old Style" w:hAnsi="Bookman Old Style"/>
          <w:sz w:val="28"/>
          <w:szCs w:val="28"/>
          <w:lang w:val="el-GR"/>
        </w:rPr>
        <w:t xml:space="preserve">πράγματι </w:t>
      </w:r>
      <w:r w:rsidR="00102907">
        <w:rPr>
          <w:rFonts w:ascii="Bookman Old Style" w:hAnsi="Bookman Old Style"/>
          <w:sz w:val="28"/>
          <w:szCs w:val="28"/>
          <w:lang w:val="el-GR"/>
        </w:rPr>
        <w:t>δικαιού</w:t>
      </w:r>
      <w:r w:rsidR="005E3730">
        <w:rPr>
          <w:rFonts w:ascii="Bookman Old Style" w:hAnsi="Bookman Old Style"/>
          <w:sz w:val="28"/>
          <w:szCs w:val="28"/>
          <w:lang w:val="el-GR"/>
        </w:rPr>
        <w:t>ν</w:t>
      </w:r>
      <w:r w:rsidR="00102907">
        <w:rPr>
          <w:rFonts w:ascii="Bookman Old Style" w:hAnsi="Bookman Old Style"/>
          <w:sz w:val="28"/>
          <w:szCs w:val="28"/>
          <w:lang w:val="el-GR"/>
        </w:rPr>
        <w:t xml:space="preserve">το να πράττουν </w:t>
      </w:r>
      <w:r w:rsidR="005E3730">
        <w:rPr>
          <w:rFonts w:ascii="Bookman Old Style" w:hAnsi="Bookman Old Style"/>
          <w:sz w:val="28"/>
          <w:szCs w:val="28"/>
          <w:lang w:val="el-GR"/>
        </w:rPr>
        <w:t xml:space="preserve">μόνο </w:t>
      </w:r>
      <w:r w:rsidR="00102907">
        <w:rPr>
          <w:rFonts w:ascii="Bookman Old Style" w:hAnsi="Bookman Old Style"/>
          <w:sz w:val="28"/>
          <w:szCs w:val="28"/>
          <w:lang w:val="el-GR"/>
        </w:rPr>
        <w:t xml:space="preserve">οι αδειούχοι χρηματιστές, αλλά απλώς εκτελούσε τις εντολές του Εφεσείοντα. Το πρωτόδικο Δικαστήριο εύστοχα επεσήμανε ότι η </w:t>
      </w:r>
      <w:proofErr w:type="spellStart"/>
      <w:r w:rsidR="00102907">
        <w:rPr>
          <w:rFonts w:ascii="Bookman Old Style" w:hAnsi="Bookman Old Style"/>
          <w:sz w:val="28"/>
          <w:szCs w:val="28"/>
          <w:lang w:val="el-GR"/>
        </w:rPr>
        <w:t>αντεξέταση</w:t>
      </w:r>
      <w:proofErr w:type="spellEnd"/>
      <w:r w:rsidR="00102907">
        <w:rPr>
          <w:rFonts w:ascii="Bookman Old Style" w:hAnsi="Bookman Old Style"/>
          <w:sz w:val="28"/>
          <w:szCs w:val="28"/>
          <w:lang w:val="el-GR"/>
        </w:rPr>
        <w:t xml:space="preserve"> των μαρτύρων της ΕΤΕ δεν αφορούσε αυτή καθ’  εαυτή την επίδικη συμφωνία μεταξύ των διαδίκων στην οποία στηρίζεται η αξίωση της Εφεσίβλητης και επομένως δεν</w:t>
      </w:r>
      <w:r w:rsidR="00B75FFA">
        <w:rPr>
          <w:rFonts w:ascii="Bookman Old Style" w:hAnsi="Bookman Old Style"/>
          <w:sz w:val="28"/>
          <w:szCs w:val="28"/>
          <w:lang w:val="el-GR"/>
        </w:rPr>
        <w:t xml:space="preserve"> είχ</w:t>
      </w:r>
      <w:r w:rsidR="002B289B">
        <w:rPr>
          <w:rFonts w:ascii="Bookman Old Style" w:hAnsi="Bookman Old Style"/>
          <w:sz w:val="28"/>
          <w:szCs w:val="28"/>
          <w:lang w:val="el-GR"/>
        </w:rPr>
        <w:t>ε</w:t>
      </w:r>
      <w:r w:rsidR="00B75FFA">
        <w:rPr>
          <w:rFonts w:ascii="Bookman Old Style" w:hAnsi="Bookman Old Style"/>
          <w:sz w:val="28"/>
          <w:szCs w:val="28"/>
          <w:lang w:val="el-GR"/>
        </w:rPr>
        <w:t xml:space="preserve"> τη σημασία που αποδίδεται </w:t>
      </w:r>
      <w:r w:rsidR="000E087F">
        <w:rPr>
          <w:rFonts w:ascii="Bookman Old Style" w:hAnsi="Bookman Old Style"/>
          <w:sz w:val="28"/>
          <w:szCs w:val="28"/>
          <w:lang w:val="el-GR"/>
        </w:rPr>
        <w:t xml:space="preserve">σε αυτή </w:t>
      </w:r>
      <w:r w:rsidR="00B75FFA">
        <w:rPr>
          <w:rFonts w:ascii="Bookman Old Style" w:hAnsi="Bookman Old Style"/>
          <w:sz w:val="28"/>
          <w:szCs w:val="28"/>
          <w:lang w:val="el-GR"/>
        </w:rPr>
        <w:t>από την υπεράσπιση</w:t>
      </w:r>
      <w:r w:rsidR="00102907">
        <w:rPr>
          <w:rFonts w:ascii="Bookman Old Style" w:hAnsi="Bookman Old Style"/>
          <w:sz w:val="28"/>
          <w:szCs w:val="28"/>
          <w:lang w:val="el-GR"/>
        </w:rPr>
        <w:t xml:space="preserve">. </w:t>
      </w:r>
      <w:r w:rsidR="00E63D7B">
        <w:rPr>
          <w:rFonts w:ascii="Bookman Old Style" w:hAnsi="Bookman Old Style"/>
          <w:sz w:val="28"/>
          <w:szCs w:val="28"/>
          <w:lang w:val="el-GR"/>
        </w:rPr>
        <w:t xml:space="preserve">Επί τούτου, το πρωτόδικο Δικαστήριο ορθά </w:t>
      </w:r>
      <w:r w:rsidR="004906B8">
        <w:rPr>
          <w:rFonts w:ascii="Bookman Old Style" w:hAnsi="Bookman Old Style"/>
          <w:sz w:val="28"/>
          <w:szCs w:val="28"/>
          <w:lang w:val="el-GR"/>
        </w:rPr>
        <w:t xml:space="preserve">διαχώρισε </w:t>
      </w:r>
      <w:r w:rsidR="00E63D7B">
        <w:rPr>
          <w:rFonts w:ascii="Bookman Old Style" w:hAnsi="Bookman Old Style"/>
          <w:sz w:val="28"/>
          <w:szCs w:val="28"/>
          <w:lang w:val="el-GR"/>
        </w:rPr>
        <w:t xml:space="preserve">τη συμφωνία μεταξύ των διαδίκων αναφορικά με το άνοιγμα του επενδυτικού λογαριασμού και τη συμφωνία μεταξύ του Εφεσείοντα και της ΕΤΕ για τη διαχείριση του εν λόγω λογαριασμού. </w:t>
      </w:r>
      <w:r w:rsidR="00946F17">
        <w:rPr>
          <w:rFonts w:ascii="Bookman Old Style" w:hAnsi="Bookman Old Style"/>
          <w:sz w:val="28"/>
          <w:szCs w:val="28"/>
          <w:lang w:val="el-GR"/>
        </w:rPr>
        <w:t xml:space="preserve">Αυτό το ζήτημα θα εξεταστεί </w:t>
      </w:r>
      <w:r w:rsidR="005F0698">
        <w:rPr>
          <w:rFonts w:ascii="Bookman Old Style" w:hAnsi="Bookman Old Style"/>
          <w:sz w:val="28"/>
          <w:szCs w:val="28"/>
          <w:lang w:val="el-GR"/>
        </w:rPr>
        <w:t xml:space="preserve">εκτενέστερα </w:t>
      </w:r>
      <w:r w:rsidR="00946F17">
        <w:rPr>
          <w:rFonts w:ascii="Bookman Old Style" w:hAnsi="Bookman Old Style"/>
          <w:sz w:val="28"/>
          <w:szCs w:val="28"/>
          <w:lang w:val="el-GR"/>
        </w:rPr>
        <w:t xml:space="preserve">στο πλαίσιο του τέταρτου λόγου έφεσης αμέσως κατωτέρω. </w:t>
      </w:r>
    </w:p>
    <w:p w14:paraId="0DC4B3CF" w14:textId="77777777" w:rsidR="00EA1411" w:rsidRDefault="00695898"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τον τέταρτο λόγο έφεσης αποδίδεται στο πρωτόδικο Δικαστήριο ότι </w:t>
      </w:r>
      <w:r w:rsidR="00290011">
        <w:rPr>
          <w:rFonts w:ascii="Bookman Old Style" w:hAnsi="Bookman Old Style"/>
          <w:sz w:val="28"/>
          <w:szCs w:val="28"/>
          <w:lang w:val="el-GR"/>
        </w:rPr>
        <w:t xml:space="preserve">λανθασμένα απάλλαξε την Εφεσίβλητη από τυχόν ευθύνη της ΕΤΕ καθότι </w:t>
      </w:r>
      <w:r>
        <w:rPr>
          <w:rFonts w:ascii="Bookman Old Style" w:hAnsi="Bookman Old Style"/>
          <w:sz w:val="28"/>
          <w:szCs w:val="28"/>
          <w:lang w:val="el-GR"/>
        </w:rPr>
        <w:t xml:space="preserve">αγνόησε το γεγονός πως η ΕΤΕ ενεργούσε ως αντιπρόσωπος της Εφεσίβλητης. </w:t>
      </w:r>
      <w:r w:rsidR="00923883">
        <w:rPr>
          <w:rFonts w:ascii="Bookman Old Style" w:hAnsi="Bookman Old Style"/>
          <w:sz w:val="28"/>
          <w:szCs w:val="28"/>
          <w:lang w:val="el-GR"/>
        </w:rPr>
        <w:t xml:space="preserve">Ο Εφεσείων παραπέμπει σε διάφορα δεδομένα τα οποία, κατά την άποψη του, αποδεικνύουν τη σχέση </w:t>
      </w:r>
      <w:r w:rsidR="00923883">
        <w:rPr>
          <w:rFonts w:ascii="Bookman Old Style" w:hAnsi="Bookman Old Style"/>
          <w:sz w:val="28"/>
          <w:szCs w:val="28"/>
          <w:lang w:val="el-GR"/>
        </w:rPr>
        <w:lastRenderedPageBreak/>
        <w:t>αντιπροσώπου-</w:t>
      </w:r>
      <w:r w:rsidR="008A7A8C">
        <w:rPr>
          <w:rFonts w:ascii="Bookman Old Style" w:hAnsi="Bookman Old Style"/>
          <w:sz w:val="28"/>
          <w:szCs w:val="28"/>
          <w:lang w:val="el-GR"/>
        </w:rPr>
        <w:t>αντιπροσωπευόμενου</w:t>
      </w:r>
      <w:r w:rsidR="00923883">
        <w:rPr>
          <w:rFonts w:ascii="Bookman Old Style" w:hAnsi="Bookman Old Style"/>
          <w:sz w:val="28"/>
          <w:szCs w:val="28"/>
          <w:lang w:val="el-GR"/>
        </w:rPr>
        <w:t xml:space="preserve"> </w:t>
      </w:r>
      <w:r w:rsidR="008A7A8C">
        <w:rPr>
          <w:rFonts w:ascii="Bookman Old Style" w:hAnsi="Bookman Old Style"/>
          <w:sz w:val="28"/>
          <w:szCs w:val="28"/>
          <w:lang w:val="el-GR"/>
        </w:rPr>
        <w:t xml:space="preserve">μεταξύ </w:t>
      </w:r>
      <w:r w:rsidR="00923883">
        <w:rPr>
          <w:rFonts w:ascii="Bookman Old Style" w:hAnsi="Bookman Old Style"/>
          <w:sz w:val="28"/>
          <w:szCs w:val="28"/>
          <w:lang w:val="el-GR"/>
        </w:rPr>
        <w:t xml:space="preserve">της ΕΤΕ </w:t>
      </w:r>
      <w:r w:rsidR="008A7A8C">
        <w:rPr>
          <w:rFonts w:ascii="Bookman Old Style" w:hAnsi="Bookman Old Style"/>
          <w:sz w:val="28"/>
          <w:szCs w:val="28"/>
          <w:lang w:val="el-GR"/>
        </w:rPr>
        <w:t xml:space="preserve">και της </w:t>
      </w:r>
      <w:r w:rsidR="00923883">
        <w:rPr>
          <w:rFonts w:ascii="Bookman Old Style" w:hAnsi="Bookman Old Style"/>
          <w:sz w:val="28"/>
          <w:szCs w:val="28"/>
          <w:lang w:val="el-GR"/>
        </w:rPr>
        <w:t>Εφεσίβλητη</w:t>
      </w:r>
      <w:r w:rsidR="008A7A8C">
        <w:rPr>
          <w:rFonts w:ascii="Bookman Old Style" w:hAnsi="Bookman Old Style"/>
          <w:sz w:val="28"/>
          <w:szCs w:val="28"/>
          <w:lang w:val="el-GR"/>
        </w:rPr>
        <w:t>ς</w:t>
      </w:r>
      <w:r w:rsidR="00923883">
        <w:rPr>
          <w:rFonts w:ascii="Bookman Old Style" w:hAnsi="Bookman Old Style"/>
          <w:sz w:val="28"/>
          <w:szCs w:val="28"/>
          <w:lang w:val="el-GR"/>
        </w:rPr>
        <w:t xml:space="preserve">. </w:t>
      </w:r>
    </w:p>
    <w:p w14:paraId="0AB3EFC0" w14:textId="3E4F3140" w:rsidR="00EA1411" w:rsidRDefault="007E010C"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Σ</w:t>
      </w:r>
      <w:r w:rsidR="00883790">
        <w:rPr>
          <w:rFonts w:ascii="Bookman Old Style" w:hAnsi="Bookman Old Style"/>
          <w:sz w:val="28"/>
          <w:szCs w:val="28"/>
          <w:lang w:val="el-GR"/>
        </w:rPr>
        <w:t xml:space="preserve">το δικόγραφο του ο Εφεσείων δεν προβάλλει ρητώς ισχυρισμό </w:t>
      </w:r>
      <w:r w:rsidR="00EA1411">
        <w:rPr>
          <w:rFonts w:ascii="Bookman Old Style" w:hAnsi="Bookman Old Style"/>
          <w:sz w:val="28"/>
          <w:szCs w:val="28"/>
          <w:lang w:val="el-GR"/>
        </w:rPr>
        <w:t>για την ύπαρξη τέτοιας σχέσης μεταξύ της Εφεσίβλητης και της ΕΤΕ</w:t>
      </w:r>
      <w:r w:rsidR="00883790">
        <w:rPr>
          <w:rFonts w:ascii="Bookman Old Style" w:hAnsi="Bookman Old Style"/>
          <w:sz w:val="28"/>
          <w:szCs w:val="28"/>
          <w:lang w:val="el-GR"/>
        </w:rPr>
        <w:t xml:space="preserve">. </w:t>
      </w:r>
      <w:r w:rsidR="00004249">
        <w:rPr>
          <w:rFonts w:ascii="Bookman Old Style" w:hAnsi="Bookman Old Style"/>
          <w:sz w:val="28"/>
          <w:szCs w:val="28"/>
          <w:lang w:val="el-GR"/>
        </w:rPr>
        <w:t xml:space="preserve">Αυτό που </w:t>
      </w:r>
      <w:proofErr w:type="spellStart"/>
      <w:r w:rsidR="00004249">
        <w:rPr>
          <w:rFonts w:ascii="Bookman Old Style" w:hAnsi="Bookman Old Style"/>
          <w:sz w:val="28"/>
          <w:szCs w:val="28"/>
          <w:lang w:val="el-GR"/>
        </w:rPr>
        <w:t>δικογραφείται</w:t>
      </w:r>
      <w:proofErr w:type="spellEnd"/>
      <w:r w:rsidR="00004249">
        <w:rPr>
          <w:rFonts w:ascii="Bookman Old Style" w:hAnsi="Bookman Old Style"/>
          <w:sz w:val="28"/>
          <w:szCs w:val="28"/>
          <w:lang w:val="el-GR"/>
        </w:rPr>
        <w:t xml:space="preserve"> είναι </w:t>
      </w:r>
      <w:r>
        <w:rPr>
          <w:rFonts w:ascii="Bookman Old Style" w:hAnsi="Bookman Old Style"/>
          <w:sz w:val="28"/>
          <w:szCs w:val="28"/>
          <w:lang w:val="el-GR"/>
        </w:rPr>
        <w:t xml:space="preserve">ισχυρισμοί ότι η ΕΤΕ είναι θυγατρική της Εφεσίβλητης, ότι η ΕΤΕ βρισκόταν υπό τον πλήρη έλεγχο της Εφεσίβλητης και ότι η </w:t>
      </w:r>
      <w:r w:rsidR="0081596B">
        <w:rPr>
          <w:rFonts w:ascii="Bookman Old Style" w:hAnsi="Bookman Old Style"/>
          <w:sz w:val="28"/>
          <w:szCs w:val="28"/>
          <w:lang w:val="el-GR"/>
        </w:rPr>
        <w:t xml:space="preserve">αίτηση του Εφεσείοντα για συμμετοχή στο επενδυτικό σχέδιο </w:t>
      </w:r>
      <w:r>
        <w:rPr>
          <w:rFonts w:ascii="Bookman Old Style" w:hAnsi="Bookman Old Style"/>
          <w:sz w:val="28"/>
          <w:szCs w:val="28"/>
          <w:lang w:val="el-GR"/>
        </w:rPr>
        <w:t xml:space="preserve">προνοούσε ότι η </w:t>
      </w:r>
      <w:r w:rsidR="0081596B">
        <w:rPr>
          <w:rFonts w:ascii="Bookman Old Style" w:hAnsi="Bookman Old Style"/>
          <w:sz w:val="28"/>
          <w:szCs w:val="28"/>
          <w:lang w:val="el-GR"/>
        </w:rPr>
        <w:t xml:space="preserve">Εφεσίβλητη </w:t>
      </w:r>
      <w:r>
        <w:rPr>
          <w:rFonts w:ascii="Bookman Old Style" w:hAnsi="Bookman Old Style"/>
          <w:sz w:val="28"/>
          <w:szCs w:val="28"/>
          <w:lang w:val="el-GR"/>
        </w:rPr>
        <w:t xml:space="preserve">σε συνεργασία με την </w:t>
      </w:r>
      <w:r w:rsidR="0081596B">
        <w:rPr>
          <w:rFonts w:ascii="Bookman Old Style" w:hAnsi="Bookman Old Style"/>
          <w:sz w:val="28"/>
          <w:szCs w:val="28"/>
          <w:lang w:val="el-GR"/>
        </w:rPr>
        <w:t xml:space="preserve">ΕΤΕ </w:t>
      </w:r>
      <w:r>
        <w:rPr>
          <w:rFonts w:ascii="Bookman Old Style" w:hAnsi="Bookman Old Style"/>
          <w:sz w:val="28"/>
          <w:szCs w:val="28"/>
          <w:lang w:val="el-GR"/>
        </w:rPr>
        <w:t>παρείχαν το σχέδιο επενδυτικού λογαριασμού.</w:t>
      </w:r>
    </w:p>
    <w:p w14:paraId="0EC2ADBC" w14:textId="762C50EB" w:rsidR="00F71557" w:rsidRPr="008111C7" w:rsidRDefault="00403C5D"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Εφεσείων εισηγείται ότι το πρωτόδικο Δικαστήριο παρέλειψε να αξιολογήσει τα εν λόγω δεδομένα. </w:t>
      </w:r>
      <w:r w:rsidR="007E52BD">
        <w:rPr>
          <w:rFonts w:ascii="Bookman Old Style" w:hAnsi="Bookman Old Style"/>
          <w:sz w:val="28"/>
          <w:szCs w:val="28"/>
          <w:lang w:val="el-GR"/>
        </w:rPr>
        <w:t>Ο</w:t>
      </w:r>
      <w:r w:rsidR="00EB6E10">
        <w:rPr>
          <w:rFonts w:ascii="Bookman Old Style" w:hAnsi="Bookman Old Style"/>
          <w:sz w:val="28"/>
          <w:szCs w:val="28"/>
          <w:lang w:val="el-GR"/>
        </w:rPr>
        <w:t xml:space="preserve">ρθά το πρωτόδικο Δικαστήριο επεσήμανε ότι </w:t>
      </w:r>
      <w:r w:rsidR="00D10927">
        <w:rPr>
          <w:rFonts w:ascii="Bookman Old Style" w:hAnsi="Bookman Old Style"/>
          <w:sz w:val="28"/>
          <w:szCs w:val="28"/>
          <w:lang w:val="el-GR"/>
        </w:rPr>
        <w:t xml:space="preserve">η Εφεσίβλητη και η ΕΤΕ </w:t>
      </w:r>
      <w:r w:rsidR="00EB6E10">
        <w:rPr>
          <w:rFonts w:ascii="Bookman Old Style" w:hAnsi="Bookman Old Style"/>
          <w:sz w:val="28"/>
          <w:szCs w:val="28"/>
          <w:lang w:val="el-GR"/>
        </w:rPr>
        <w:t>αποτελούν ξεχωριστά νομικά πρόσωπα</w:t>
      </w:r>
      <w:r w:rsidR="001A56C2">
        <w:rPr>
          <w:rFonts w:ascii="Bookman Old Style" w:hAnsi="Bookman Old Style"/>
          <w:sz w:val="28"/>
          <w:szCs w:val="28"/>
          <w:lang w:val="el-GR"/>
        </w:rPr>
        <w:t>, ανεξαρτήτως του ότι η ΕΤΕ είναι θυγατρική της Εφεσίβλητης</w:t>
      </w:r>
      <w:r w:rsidR="00004249">
        <w:rPr>
          <w:rFonts w:ascii="Bookman Old Style" w:hAnsi="Bookman Old Style"/>
          <w:sz w:val="28"/>
          <w:szCs w:val="28"/>
          <w:lang w:val="el-GR"/>
        </w:rPr>
        <w:t>, δηλαδή η τελευταία κατέχει τις μετοχές της πρώτης</w:t>
      </w:r>
      <w:r w:rsidR="001A56C2">
        <w:rPr>
          <w:rFonts w:ascii="Bookman Old Style" w:hAnsi="Bookman Old Style"/>
          <w:sz w:val="28"/>
          <w:szCs w:val="28"/>
          <w:lang w:val="el-GR"/>
        </w:rPr>
        <w:t xml:space="preserve">. </w:t>
      </w:r>
      <w:r w:rsidR="004B03B6">
        <w:rPr>
          <w:rFonts w:ascii="Bookman Old Style" w:hAnsi="Bookman Old Style"/>
          <w:sz w:val="28"/>
          <w:szCs w:val="28"/>
          <w:lang w:val="el-GR"/>
        </w:rPr>
        <w:t xml:space="preserve">Όπως έχει αναφερθεί στην υπόθεση </w:t>
      </w:r>
      <w:r w:rsidR="00F602C2" w:rsidRPr="00F602C2">
        <w:rPr>
          <w:rFonts w:ascii="Bookman Old Style" w:hAnsi="Bookman Old Style"/>
          <w:b/>
          <w:bCs/>
          <w:i/>
          <w:iCs/>
          <w:sz w:val="28"/>
          <w:szCs w:val="28"/>
          <w:lang w:val="en-GB"/>
        </w:rPr>
        <w:t>Johnson</w:t>
      </w:r>
      <w:r w:rsidR="00F602C2" w:rsidRPr="00883790">
        <w:rPr>
          <w:rFonts w:ascii="Bookman Old Style" w:hAnsi="Bookman Old Style"/>
          <w:b/>
          <w:bCs/>
          <w:i/>
          <w:iCs/>
          <w:sz w:val="28"/>
          <w:szCs w:val="28"/>
          <w:lang w:val="el-GR"/>
        </w:rPr>
        <w:t xml:space="preserve"> </w:t>
      </w:r>
      <w:r w:rsidR="00F602C2" w:rsidRPr="00F602C2">
        <w:rPr>
          <w:rFonts w:ascii="Bookman Old Style" w:hAnsi="Bookman Old Style"/>
          <w:b/>
          <w:bCs/>
          <w:i/>
          <w:iCs/>
          <w:sz w:val="28"/>
          <w:szCs w:val="28"/>
          <w:lang w:val="en-GB"/>
        </w:rPr>
        <w:t>v</w:t>
      </w:r>
      <w:r w:rsidR="00F602C2" w:rsidRPr="00883790">
        <w:rPr>
          <w:rFonts w:ascii="Bookman Old Style" w:hAnsi="Bookman Old Style"/>
          <w:b/>
          <w:bCs/>
          <w:i/>
          <w:iCs/>
          <w:sz w:val="28"/>
          <w:szCs w:val="28"/>
          <w:lang w:val="el-GR"/>
        </w:rPr>
        <w:t xml:space="preserve">. </w:t>
      </w:r>
      <w:r w:rsidR="00F602C2" w:rsidRPr="00F602C2">
        <w:rPr>
          <w:rFonts w:ascii="Bookman Old Style" w:hAnsi="Bookman Old Style"/>
          <w:b/>
          <w:bCs/>
          <w:i/>
          <w:iCs/>
          <w:sz w:val="28"/>
          <w:szCs w:val="28"/>
          <w:lang w:val="en-GB"/>
        </w:rPr>
        <w:t>Gore</w:t>
      </w:r>
      <w:r w:rsidR="00F602C2" w:rsidRPr="00883790">
        <w:rPr>
          <w:rFonts w:ascii="Bookman Old Style" w:hAnsi="Bookman Old Style"/>
          <w:b/>
          <w:bCs/>
          <w:i/>
          <w:iCs/>
          <w:sz w:val="28"/>
          <w:szCs w:val="28"/>
          <w:lang w:val="el-GR"/>
        </w:rPr>
        <w:t xml:space="preserve"> </w:t>
      </w:r>
      <w:r w:rsidR="00F602C2" w:rsidRPr="00F602C2">
        <w:rPr>
          <w:rFonts w:ascii="Bookman Old Style" w:hAnsi="Bookman Old Style"/>
          <w:b/>
          <w:bCs/>
          <w:i/>
          <w:iCs/>
          <w:sz w:val="28"/>
          <w:szCs w:val="28"/>
          <w:lang w:val="en-GB"/>
        </w:rPr>
        <w:t>Wood</w:t>
      </w:r>
      <w:r w:rsidR="00F602C2" w:rsidRPr="00883790">
        <w:rPr>
          <w:rFonts w:ascii="Bookman Old Style" w:hAnsi="Bookman Old Style"/>
          <w:b/>
          <w:bCs/>
          <w:i/>
          <w:iCs/>
          <w:sz w:val="28"/>
          <w:szCs w:val="28"/>
          <w:lang w:val="el-GR"/>
        </w:rPr>
        <w:t xml:space="preserve"> &amp; </w:t>
      </w:r>
      <w:r w:rsidR="00F602C2" w:rsidRPr="00F602C2">
        <w:rPr>
          <w:rFonts w:ascii="Bookman Old Style" w:hAnsi="Bookman Old Style"/>
          <w:b/>
          <w:bCs/>
          <w:i/>
          <w:iCs/>
          <w:sz w:val="28"/>
          <w:szCs w:val="28"/>
          <w:lang w:val="en-GB"/>
        </w:rPr>
        <w:t>Co</w:t>
      </w:r>
      <w:r w:rsidR="00F602C2" w:rsidRPr="00883790">
        <w:rPr>
          <w:rFonts w:ascii="Bookman Old Style" w:hAnsi="Bookman Old Style"/>
          <w:b/>
          <w:bCs/>
          <w:i/>
          <w:iCs/>
          <w:sz w:val="28"/>
          <w:szCs w:val="28"/>
          <w:lang w:val="el-GR"/>
        </w:rPr>
        <w:t xml:space="preserve"> (2000) 1 </w:t>
      </w:r>
      <w:r w:rsidR="00F602C2" w:rsidRPr="00F602C2">
        <w:rPr>
          <w:rFonts w:ascii="Bookman Old Style" w:hAnsi="Bookman Old Style"/>
          <w:b/>
          <w:bCs/>
          <w:i/>
          <w:iCs/>
          <w:sz w:val="28"/>
          <w:szCs w:val="28"/>
          <w:lang w:val="en-GB"/>
        </w:rPr>
        <w:t>ALL</w:t>
      </w:r>
      <w:r w:rsidR="00F602C2" w:rsidRPr="00883790">
        <w:rPr>
          <w:rFonts w:ascii="Bookman Old Style" w:hAnsi="Bookman Old Style"/>
          <w:b/>
          <w:bCs/>
          <w:i/>
          <w:iCs/>
          <w:sz w:val="28"/>
          <w:szCs w:val="28"/>
          <w:lang w:val="el-GR"/>
        </w:rPr>
        <w:t xml:space="preserve"> </w:t>
      </w:r>
      <w:r w:rsidR="00F602C2" w:rsidRPr="00F602C2">
        <w:rPr>
          <w:rFonts w:ascii="Bookman Old Style" w:hAnsi="Bookman Old Style"/>
          <w:b/>
          <w:bCs/>
          <w:i/>
          <w:iCs/>
          <w:sz w:val="28"/>
          <w:szCs w:val="28"/>
          <w:lang w:val="en-GB"/>
        </w:rPr>
        <w:t>E</w:t>
      </w:r>
      <w:r w:rsidR="00F602C2" w:rsidRPr="00883790">
        <w:rPr>
          <w:rFonts w:ascii="Bookman Old Style" w:hAnsi="Bookman Old Style"/>
          <w:b/>
          <w:bCs/>
          <w:i/>
          <w:iCs/>
          <w:sz w:val="28"/>
          <w:szCs w:val="28"/>
          <w:lang w:val="el-GR"/>
        </w:rPr>
        <w:t>.</w:t>
      </w:r>
      <w:r w:rsidR="00F602C2" w:rsidRPr="00F602C2">
        <w:rPr>
          <w:rFonts w:ascii="Bookman Old Style" w:hAnsi="Bookman Old Style"/>
          <w:b/>
          <w:bCs/>
          <w:i/>
          <w:iCs/>
          <w:sz w:val="28"/>
          <w:szCs w:val="28"/>
          <w:lang w:val="en-GB"/>
        </w:rPr>
        <w:t>R</w:t>
      </w:r>
      <w:r w:rsidR="00F602C2" w:rsidRPr="00883790">
        <w:rPr>
          <w:rFonts w:ascii="Bookman Old Style" w:hAnsi="Bookman Old Style"/>
          <w:b/>
          <w:bCs/>
          <w:i/>
          <w:iCs/>
          <w:sz w:val="28"/>
          <w:szCs w:val="28"/>
          <w:lang w:val="el-GR"/>
        </w:rPr>
        <w:t xml:space="preserve">. </w:t>
      </w:r>
      <w:r w:rsidR="00F602C2" w:rsidRPr="00F602C2">
        <w:rPr>
          <w:rFonts w:ascii="Bookman Old Style" w:hAnsi="Bookman Old Style"/>
          <w:b/>
          <w:bCs/>
          <w:i/>
          <w:iCs/>
          <w:sz w:val="28"/>
          <w:szCs w:val="28"/>
          <w:lang w:val="el-GR"/>
        </w:rPr>
        <w:t>481</w:t>
      </w:r>
      <w:r w:rsidR="00F602C2">
        <w:rPr>
          <w:rFonts w:ascii="Bookman Old Style" w:hAnsi="Bookman Old Style"/>
          <w:sz w:val="28"/>
          <w:szCs w:val="28"/>
          <w:lang w:val="el-GR"/>
        </w:rPr>
        <w:t xml:space="preserve">, </w:t>
      </w:r>
      <w:r w:rsidR="0050145A">
        <w:rPr>
          <w:rFonts w:ascii="Bookman Old Style" w:hAnsi="Bookman Old Style"/>
          <w:sz w:val="28"/>
          <w:szCs w:val="28"/>
          <w:lang w:val="el-GR"/>
        </w:rPr>
        <w:t>σύμφωνα με το εταιρικό δίκαιο, μια εταιρεία αποτελεί ξεχωριστή νομική οντότητα, διακριτή από τους μετόχους, στους οποίους ανήκουν οι μετοχές</w:t>
      </w:r>
      <w:r w:rsidR="00395EFB">
        <w:rPr>
          <w:rFonts w:ascii="Bookman Old Style" w:hAnsi="Bookman Old Style"/>
          <w:sz w:val="28"/>
          <w:szCs w:val="28"/>
          <w:lang w:val="el-GR"/>
        </w:rPr>
        <w:t xml:space="preserve">. </w:t>
      </w:r>
      <w:r w:rsidR="008111C7">
        <w:rPr>
          <w:rFonts w:ascii="Bookman Old Style" w:hAnsi="Bookman Old Style"/>
          <w:sz w:val="28"/>
          <w:szCs w:val="28"/>
          <w:lang w:val="el-GR"/>
        </w:rPr>
        <w:t xml:space="preserve">Είναι επίσης αναγνωρισμένη </w:t>
      </w:r>
      <w:r w:rsidR="008111C7" w:rsidRPr="008111C7">
        <w:rPr>
          <w:rFonts w:ascii="Bookman Old Style" w:hAnsi="Bookman Old Style" w:cs="Arial"/>
          <w:sz w:val="28"/>
          <w:szCs w:val="28"/>
          <w:lang w:val="el-GR"/>
        </w:rPr>
        <w:t xml:space="preserve">η ξεχωριστή νομική προσωπικότητα ακόμα και θυγατρικής εν </w:t>
      </w:r>
      <w:proofErr w:type="spellStart"/>
      <w:r w:rsidR="008111C7" w:rsidRPr="008111C7">
        <w:rPr>
          <w:rFonts w:ascii="Bookman Old Style" w:hAnsi="Bookman Old Style" w:cs="Arial"/>
          <w:sz w:val="28"/>
          <w:szCs w:val="28"/>
          <w:lang w:val="el-GR"/>
        </w:rPr>
        <w:t>σχέσει</w:t>
      </w:r>
      <w:proofErr w:type="spellEnd"/>
      <w:r w:rsidR="008111C7" w:rsidRPr="008111C7">
        <w:rPr>
          <w:rFonts w:ascii="Bookman Old Style" w:hAnsi="Bookman Old Style" w:cs="Arial"/>
          <w:sz w:val="28"/>
          <w:szCs w:val="28"/>
          <w:lang w:val="el-GR"/>
        </w:rPr>
        <w:t xml:space="preserve"> προς μητρική εταιρεία  (βλ. </w:t>
      </w:r>
      <w:r w:rsidR="008111C7" w:rsidRPr="008111C7">
        <w:rPr>
          <w:rFonts w:ascii="Bookman Old Style" w:hAnsi="Bookman Old Style" w:cs="Arial"/>
          <w:b/>
          <w:i/>
          <w:iCs/>
          <w:sz w:val="28"/>
          <w:szCs w:val="28"/>
        </w:rPr>
        <w:t>Pennington</w:t>
      </w:r>
      <w:r w:rsidR="008111C7" w:rsidRPr="008111C7">
        <w:rPr>
          <w:rFonts w:ascii="Bookman Old Style" w:hAnsi="Bookman Old Style" w:cs="Arial"/>
          <w:b/>
          <w:i/>
          <w:iCs/>
          <w:sz w:val="28"/>
          <w:szCs w:val="28"/>
          <w:lang w:val="el-GR"/>
        </w:rPr>
        <w:t>’</w:t>
      </w:r>
      <w:r w:rsidR="008111C7" w:rsidRPr="008111C7">
        <w:rPr>
          <w:rFonts w:ascii="Bookman Old Style" w:hAnsi="Bookman Old Style" w:cs="Arial"/>
          <w:b/>
          <w:i/>
          <w:iCs/>
          <w:sz w:val="28"/>
          <w:szCs w:val="28"/>
        </w:rPr>
        <w:t>s</w:t>
      </w:r>
      <w:r w:rsidR="008111C7" w:rsidRPr="008111C7">
        <w:rPr>
          <w:rFonts w:ascii="Bookman Old Style" w:hAnsi="Bookman Old Style" w:cs="Arial"/>
          <w:b/>
          <w:i/>
          <w:iCs/>
          <w:sz w:val="28"/>
          <w:szCs w:val="28"/>
          <w:lang w:val="el-GR"/>
        </w:rPr>
        <w:t xml:space="preserve"> </w:t>
      </w:r>
      <w:r w:rsidR="008111C7" w:rsidRPr="008111C7">
        <w:rPr>
          <w:rFonts w:ascii="Bookman Old Style" w:hAnsi="Bookman Old Style" w:cs="Arial"/>
          <w:b/>
          <w:i/>
          <w:iCs/>
          <w:sz w:val="28"/>
          <w:szCs w:val="28"/>
        </w:rPr>
        <w:t>Company</w:t>
      </w:r>
      <w:r w:rsidR="008111C7" w:rsidRPr="008111C7">
        <w:rPr>
          <w:rFonts w:ascii="Bookman Old Style" w:hAnsi="Bookman Old Style" w:cs="Arial"/>
          <w:b/>
          <w:i/>
          <w:iCs/>
          <w:sz w:val="28"/>
          <w:szCs w:val="28"/>
          <w:lang w:val="el-GR"/>
        </w:rPr>
        <w:t xml:space="preserve"> </w:t>
      </w:r>
      <w:r w:rsidR="008111C7" w:rsidRPr="008111C7">
        <w:rPr>
          <w:rFonts w:ascii="Bookman Old Style" w:hAnsi="Bookman Old Style" w:cs="Arial"/>
          <w:b/>
          <w:i/>
          <w:iCs/>
          <w:sz w:val="28"/>
          <w:szCs w:val="28"/>
        </w:rPr>
        <w:t>Law</w:t>
      </w:r>
      <w:r w:rsidR="008111C7" w:rsidRPr="008111C7">
        <w:rPr>
          <w:rFonts w:ascii="Bookman Old Style" w:hAnsi="Bookman Old Style" w:cs="Arial"/>
          <w:b/>
          <w:i/>
          <w:iCs/>
          <w:sz w:val="28"/>
          <w:szCs w:val="28"/>
          <w:lang w:val="el-GR"/>
        </w:rPr>
        <w:t>, 5</w:t>
      </w:r>
      <w:r w:rsidR="008111C7" w:rsidRPr="008111C7">
        <w:rPr>
          <w:rFonts w:ascii="Bookman Old Style" w:hAnsi="Bookman Old Style" w:cs="Arial"/>
          <w:b/>
          <w:i/>
          <w:iCs/>
          <w:sz w:val="28"/>
          <w:szCs w:val="28"/>
          <w:vertAlign w:val="superscript"/>
          <w:lang w:val="el-GR"/>
        </w:rPr>
        <w:t>η</w:t>
      </w:r>
      <w:r w:rsidR="008111C7" w:rsidRPr="008111C7">
        <w:rPr>
          <w:rFonts w:ascii="Bookman Old Style" w:hAnsi="Bookman Old Style" w:cs="Arial"/>
          <w:b/>
          <w:i/>
          <w:iCs/>
          <w:sz w:val="28"/>
          <w:szCs w:val="28"/>
          <w:lang w:val="el-GR"/>
        </w:rPr>
        <w:t xml:space="preserve"> έκδοση, σελ. 52</w:t>
      </w:r>
      <w:r w:rsidR="008111C7" w:rsidRPr="008111C7">
        <w:rPr>
          <w:rFonts w:ascii="Bookman Old Style" w:hAnsi="Bookman Old Style" w:cs="Arial"/>
          <w:sz w:val="28"/>
          <w:szCs w:val="28"/>
          <w:lang w:val="el-GR"/>
        </w:rPr>
        <w:t>).</w:t>
      </w:r>
    </w:p>
    <w:p w14:paraId="59BD569D" w14:textId="63032283" w:rsidR="00606A78" w:rsidRDefault="00BB2EF7"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Έχει ήδη αναφερθεί ανωτέρω η διάκριση μεταξύ της συμφωνίας για το άνοιγμα του επενδυτικού λογαριασμού και της συμφωνίας για τη διαχείριση αυτού, οι οποίες </w:t>
      </w:r>
      <w:r w:rsidR="00356F91">
        <w:rPr>
          <w:rFonts w:ascii="Bookman Old Style" w:hAnsi="Bookman Old Style"/>
          <w:sz w:val="28"/>
          <w:szCs w:val="28"/>
          <w:lang w:val="el-GR"/>
        </w:rPr>
        <w:t xml:space="preserve">είχαν </w:t>
      </w:r>
      <w:r>
        <w:rPr>
          <w:rFonts w:ascii="Bookman Old Style" w:hAnsi="Bookman Old Style"/>
          <w:sz w:val="28"/>
          <w:szCs w:val="28"/>
          <w:lang w:val="el-GR"/>
        </w:rPr>
        <w:t>συν</w:t>
      </w:r>
      <w:r w:rsidR="00356F91">
        <w:rPr>
          <w:rFonts w:ascii="Bookman Old Style" w:hAnsi="Bookman Old Style"/>
          <w:sz w:val="28"/>
          <w:szCs w:val="28"/>
          <w:lang w:val="el-GR"/>
        </w:rPr>
        <w:t>αφθεί</w:t>
      </w:r>
      <w:r>
        <w:rPr>
          <w:rFonts w:ascii="Bookman Old Style" w:hAnsi="Bookman Old Style"/>
          <w:sz w:val="28"/>
          <w:szCs w:val="28"/>
          <w:lang w:val="el-GR"/>
        </w:rPr>
        <w:t xml:space="preserve"> από διαφορετικά μέρη. </w:t>
      </w:r>
      <w:r w:rsidR="002B2E64">
        <w:rPr>
          <w:rFonts w:ascii="Bookman Old Style" w:hAnsi="Bookman Old Style"/>
          <w:sz w:val="28"/>
          <w:szCs w:val="28"/>
          <w:lang w:val="el-GR"/>
        </w:rPr>
        <w:t xml:space="preserve">Τα ζητήματα τα οποία </w:t>
      </w:r>
      <w:r w:rsidR="00A736A3">
        <w:rPr>
          <w:rFonts w:ascii="Bookman Old Style" w:hAnsi="Bookman Old Style"/>
          <w:sz w:val="28"/>
          <w:szCs w:val="28"/>
          <w:lang w:val="el-GR"/>
        </w:rPr>
        <w:t>αναφέρει ο Εφεσείων</w:t>
      </w:r>
      <w:r w:rsidR="00A736A3" w:rsidRPr="00A736A3">
        <w:rPr>
          <w:rFonts w:ascii="Bookman Old Style" w:hAnsi="Bookman Old Style"/>
          <w:sz w:val="28"/>
          <w:szCs w:val="28"/>
          <w:lang w:val="el-GR"/>
        </w:rPr>
        <w:t xml:space="preserve"> </w:t>
      </w:r>
      <w:r w:rsidR="00A736A3">
        <w:rPr>
          <w:rFonts w:ascii="Bookman Old Style" w:hAnsi="Bookman Old Style"/>
          <w:sz w:val="28"/>
          <w:szCs w:val="28"/>
          <w:lang w:val="el-GR"/>
        </w:rPr>
        <w:t xml:space="preserve">δεν διαφοροποιούν την κατάσταση. Αξίζει όμως να σημειώσουμε πως το γεγονός ότι η </w:t>
      </w:r>
      <w:r>
        <w:rPr>
          <w:rFonts w:ascii="Bookman Old Style" w:hAnsi="Bookman Old Style"/>
          <w:sz w:val="28"/>
          <w:szCs w:val="28"/>
          <w:lang w:val="el-GR"/>
        </w:rPr>
        <w:t xml:space="preserve">συμφωνία για το άνοιγμα του επενδυτικού λογαριασμού </w:t>
      </w:r>
      <w:r w:rsidR="00A736A3">
        <w:rPr>
          <w:rFonts w:ascii="Bookman Old Style" w:hAnsi="Bookman Old Style"/>
          <w:sz w:val="28"/>
          <w:szCs w:val="28"/>
          <w:lang w:val="el-GR"/>
        </w:rPr>
        <w:t xml:space="preserve">υπεγράφη από τον </w:t>
      </w:r>
      <w:r>
        <w:rPr>
          <w:rFonts w:ascii="Bookman Old Style" w:hAnsi="Bookman Old Style"/>
          <w:sz w:val="28"/>
          <w:szCs w:val="28"/>
          <w:lang w:val="el-GR"/>
        </w:rPr>
        <w:t xml:space="preserve">ΜΕ3 ο οποίος ήταν και αξιωματούχος της ΕΤΕ </w:t>
      </w:r>
      <w:r w:rsidR="00A736A3">
        <w:rPr>
          <w:rFonts w:ascii="Bookman Old Style" w:hAnsi="Bookman Old Style"/>
          <w:sz w:val="28"/>
          <w:szCs w:val="28"/>
          <w:lang w:val="el-GR"/>
        </w:rPr>
        <w:t>δεν ενέχει σημασία εφόσον αυτός υπέγραψε εκ μέρους και για λογαριασμό της Εφεσίβλητης, ως συμβαλλόμενου μέρους. Η υπογραφή του ΜΕ4, ο οποίος επίσης ήταν</w:t>
      </w:r>
      <w:r w:rsidR="00C94E01">
        <w:rPr>
          <w:rFonts w:ascii="Bookman Old Style" w:hAnsi="Bookman Old Style"/>
          <w:sz w:val="28"/>
          <w:szCs w:val="28"/>
          <w:lang w:val="el-GR"/>
        </w:rPr>
        <w:t xml:space="preserve"> αξιωματούχος της ΕΤΕ, τοποθετήθηκε στην εν λόγω συμφωνία υπό την ιδιότητα του ως μάρτυρας. </w:t>
      </w:r>
      <w:r w:rsidR="0081596B">
        <w:rPr>
          <w:rFonts w:ascii="Bookman Old Style" w:hAnsi="Bookman Old Style"/>
          <w:sz w:val="28"/>
          <w:szCs w:val="28"/>
          <w:lang w:val="el-GR"/>
        </w:rPr>
        <w:t xml:space="preserve">Η αναφορά σε συνεργασία μεταξύ των δύο </w:t>
      </w:r>
      <w:r w:rsidR="00D95955">
        <w:rPr>
          <w:rFonts w:ascii="Bookman Old Style" w:hAnsi="Bookman Old Style"/>
          <w:sz w:val="28"/>
          <w:szCs w:val="28"/>
          <w:lang w:val="el-GR"/>
        </w:rPr>
        <w:t xml:space="preserve">στην αίτηση την οποία υπέβαλε ο Εφεσείων αναφέρεται στη διεύρυνση του φάσματος των προϊόντων της Εφεσίβλητης μέσω του επενδυτικού λογαριασμού, ενώ γεγονός παραμένει ότι υπεγράφησαν δύο ξεχωριστές συμφωνίες, η μια με την Εφεσίβλητη και η άλλη με την ΕΤΕ, όπως αναφέρεται ανωτέρω. </w:t>
      </w:r>
    </w:p>
    <w:p w14:paraId="37DCFB0F" w14:textId="1D2932BF" w:rsidR="006701AE" w:rsidRPr="00555992" w:rsidRDefault="00606A78" w:rsidP="008F12AD">
      <w:pPr>
        <w:spacing w:before="100" w:beforeAutospacing="1" w:after="100" w:afterAutospacing="1" w:line="480" w:lineRule="auto"/>
        <w:ind w:firstLine="567"/>
        <w:jc w:val="both"/>
        <w:rPr>
          <w:rFonts w:ascii="Bookman Old Style" w:hAnsi="Bookman Old Style"/>
          <w:color w:val="000000"/>
          <w:sz w:val="28"/>
          <w:szCs w:val="28"/>
          <w:lang w:val="el-GR"/>
        </w:rPr>
      </w:pPr>
      <w:r w:rsidRPr="007D003D">
        <w:rPr>
          <w:rFonts w:ascii="Bookman Old Style" w:hAnsi="Bookman Old Style"/>
          <w:sz w:val="28"/>
          <w:szCs w:val="28"/>
          <w:lang w:val="el-GR"/>
        </w:rPr>
        <w:t>Επομένως, θεωρούμε ορθή την προσέγγιση του πρωτόδικου Δικαστηρίου ως προς τη διάκριση μεταξύ των δύο</w:t>
      </w:r>
      <w:r w:rsidR="00004249">
        <w:rPr>
          <w:rFonts w:ascii="Bookman Old Style" w:hAnsi="Bookman Old Style"/>
          <w:sz w:val="28"/>
          <w:szCs w:val="28"/>
          <w:lang w:val="el-GR"/>
        </w:rPr>
        <w:t>,</w:t>
      </w:r>
      <w:r w:rsidRPr="007D003D">
        <w:rPr>
          <w:rFonts w:ascii="Bookman Old Style" w:hAnsi="Bookman Old Style"/>
          <w:sz w:val="28"/>
          <w:szCs w:val="28"/>
          <w:lang w:val="el-GR"/>
        </w:rPr>
        <w:t xml:space="preserve"> όσον αφορά τις υποχρεώσεις και τα καθήκοντα τους έναντι του Εφεσείοντα δυνάμει της αντίστοιχης συμφωνίας, χωρίς η ΕΤΕ να θεωρείται ότι ενεργούσε ως αντιπρόσωπος της Εφεσίβλητης. </w:t>
      </w:r>
      <w:r w:rsidR="002208B2">
        <w:rPr>
          <w:rFonts w:ascii="Bookman Old Style" w:hAnsi="Bookman Old Style"/>
          <w:sz w:val="28"/>
          <w:szCs w:val="28"/>
          <w:lang w:val="el-GR"/>
        </w:rPr>
        <w:t xml:space="preserve">Το πρωτόδικο Δικαστήριο </w:t>
      </w:r>
      <w:r w:rsidR="002208B2">
        <w:rPr>
          <w:rFonts w:ascii="Bookman Old Style" w:hAnsi="Bookman Old Style"/>
          <w:sz w:val="28"/>
          <w:szCs w:val="28"/>
          <w:lang w:val="el-GR"/>
        </w:rPr>
        <w:lastRenderedPageBreak/>
        <w:t xml:space="preserve">εύστοχα επεσήμανε ότι η Εφεσίβλητη δεν είχε οποιαδήποτε ανάμειξη στην αγοραπωλησία των μετοχών, που αφορούσε τη ξεχωριστή συμφωνία μεταξύ του Εφεσείοντα και της ΕΤΕ. </w:t>
      </w:r>
      <w:r w:rsidRPr="007D003D">
        <w:rPr>
          <w:rFonts w:ascii="Bookman Old Style" w:hAnsi="Bookman Old Style"/>
          <w:sz w:val="28"/>
          <w:szCs w:val="28"/>
          <w:lang w:val="el-GR"/>
        </w:rPr>
        <w:t xml:space="preserve">Επί τούτου, χρήσιμη αναφορά γίνεται στις υποθέσεις </w:t>
      </w:r>
      <w:proofErr w:type="spellStart"/>
      <w:r w:rsidR="000403DA" w:rsidRPr="007D003D">
        <w:rPr>
          <w:rFonts w:ascii="Bookman Old Style" w:hAnsi="Bookman Old Style"/>
          <w:b/>
          <w:bCs/>
          <w:i/>
          <w:iCs/>
          <w:sz w:val="28"/>
          <w:szCs w:val="28"/>
          <w:lang w:val="el-GR"/>
        </w:rPr>
        <w:t>Βυρίδου</w:t>
      </w:r>
      <w:proofErr w:type="spellEnd"/>
      <w:r w:rsidR="000403DA" w:rsidRPr="007D003D">
        <w:rPr>
          <w:rFonts w:ascii="Bookman Old Style" w:hAnsi="Bookman Old Style"/>
          <w:b/>
          <w:bCs/>
          <w:i/>
          <w:iCs/>
          <w:sz w:val="28"/>
          <w:szCs w:val="28"/>
          <w:lang w:val="el-GR"/>
        </w:rPr>
        <w:t xml:space="preserve"> </w:t>
      </w:r>
      <w:r w:rsidR="000403DA" w:rsidRPr="007D003D">
        <w:rPr>
          <w:rFonts w:ascii="Bookman Old Style" w:hAnsi="Bookman Old Style"/>
          <w:b/>
          <w:bCs/>
          <w:i/>
          <w:iCs/>
          <w:sz w:val="28"/>
          <w:szCs w:val="28"/>
        </w:rPr>
        <w:t>v</w:t>
      </w:r>
      <w:r w:rsidR="000403DA" w:rsidRPr="007D003D">
        <w:rPr>
          <w:rFonts w:ascii="Bookman Old Style" w:hAnsi="Bookman Old Style"/>
          <w:b/>
          <w:bCs/>
          <w:i/>
          <w:iCs/>
          <w:sz w:val="28"/>
          <w:szCs w:val="28"/>
          <w:lang w:val="el-GR"/>
        </w:rPr>
        <w:t xml:space="preserve">. </w:t>
      </w:r>
      <w:r w:rsidR="000403DA" w:rsidRPr="007D003D">
        <w:rPr>
          <w:rFonts w:ascii="Bookman Old Style" w:hAnsi="Bookman Old Style"/>
          <w:b/>
          <w:bCs/>
          <w:i/>
          <w:iCs/>
          <w:sz w:val="28"/>
          <w:szCs w:val="28"/>
        </w:rPr>
        <w:t>Alpha</w:t>
      </w:r>
      <w:r w:rsidR="000403DA" w:rsidRPr="007D003D">
        <w:rPr>
          <w:rFonts w:ascii="Bookman Old Style" w:hAnsi="Bookman Old Style"/>
          <w:b/>
          <w:bCs/>
          <w:i/>
          <w:iCs/>
          <w:sz w:val="28"/>
          <w:szCs w:val="28"/>
          <w:lang w:val="el-GR"/>
        </w:rPr>
        <w:t xml:space="preserve"> </w:t>
      </w:r>
      <w:r w:rsidR="000403DA" w:rsidRPr="007D003D">
        <w:rPr>
          <w:rFonts w:ascii="Bookman Old Style" w:hAnsi="Bookman Old Style"/>
          <w:b/>
          <w:bCs/>
          <w:i/>
          <w:iCs/>
          <w:sz w:val="28"/>
          <w:szCs w:val="28"/>
        </w:rPr>
        <w:t>Bank</w:t>
      </w:r>
      <w:r w:rsidR="000403DA" w:rsidRPr="007D003D">
        <w:rPr>
          <w:rFonts w:ascii="Bookman Old Style" w:hAnsi="Bookman Old Style"/>
          <w:b/>
          <w:bCs/>
          <w:i/>
          <w:iCs/>
          <w:sz w:val="28"/>
          <w:szCs w:val="28"/>
          <w:lang w:val="el-GR"/>
        </w:rPr>
        <w:t xml:space="preserve"> </w:t>
      </w:r>
      <w:r w:rsidR="000403DA" w:rsidRPr="007D003D">
        <w:rPr>
          <w:rFonts w:ascii="Bookman Old Style" w:hAnsi="Bookman Old Style"/>
          <w:b/>
          <w:bCs/>
          <w:i/>
          <w:iCs/>
          <w:sz w:val="28"/>
          <w:szCs w:val="28"/>
        </w:rPr>
        <w:t>Cyprus</w:t>
      </w:r>
      <w:r w:rsidR="000403DA" w:rsidRPr="007D003D">
        <w:rPr>
          <w:rFonts w:ascii="Bookman Old Style" w:hAnsi="Bookman Old Style"/>
          <w:b/>
          <w:bCs/>
          <w:i/>
          <w:iCs/>
          <w:sz w:val="28"/>
          <w:szCs w:val="28"/>
          <w:lang w:val="el-GR"/>
        </w:rPr>
        <w:t xml:space="preserve"> </w:t>
      </w:r>
      <w:r w:rsidR="000403DA" w:rsidRPr="007D003D">
        <w:rPr>
          <w:rFonts w:ascii="Bookman Old Style" w:hAnsi="Bookman Old Style"/>
          <w:b/>
          <w:bCs/>
          <w:i/>
          <w:iCs/>
          <w:sz w:val="28"/>
          <w:szCs w:val="28"/>
        </w:rPr>
        <w:t>Ltd</w:t>
      </w:r>
      <w:r w:rsidR="000403DA" w:rsidRPr="007D003D">
        <w:rPr>
          <w:rFonts w:ascii="Bookman Old Style" w:hAnsi="Bookman Old Style"/>
          <w:b/>
          <w:bCs/>
          <w:i/>
          <w:iCs/>
          <w:sz w:val="28"/>
          <w:szCs w:val="28"/>
          <w:lang w:val="el-GR"/>
        </w:rPr>
        <w:t xml:space="preserve">, Πολ. Εφέσεις 217/2013 και 218/2013, </w:t>
      </w:r>
      <w:proofErr w:type="spellStart"/>
      <w:r w:rsidR="000403DA" w:rsidRPr="007D003D">
        <w:rPr>
          <w:rFonts w:ascii="Bookman Old Style" w:hAnsi="Bookman Old Style"/>
          <w:b/>
          <w:bCs/>
          <w:i/>
          <w:iCs/>
          <w:sz w:val="28"/>
          <w:szCs w:val="28"/>
          <w:lang w:val="el-GR"/>
        </w:rPr>
        <w:t>ημερ</w:t>
      </w:r>
      <w:proofErr w:type="spellEnd"/>
      <w:r w:rsidR="000403DA" w:rsidRPr="007D003D">
        <w:rPr>
          <w:rFonts w:ascii="Bookman Old Style" w:hAnsi="Bookman Old Style"/>
          <w:b/>
          <w:bCs/>
          <w:i/>
          <w:iCs/>
          <w:sz w:val="28"/>
          <w:szCs w:val="28"/>
          <w:lang w:val="el-GR"/>
        </w:rPr>
        <w:t>. 26.10.2021</w:t>
      </w:r>
      <w:r w:rsidR="000403DA" w:rsidRPr="007D003D">
        <w:rPr>
          <w:rFonts w:ascii="Bookman Old Style" w:hAnsi="Bookman Old Style"/>
          <w:sz w:val="28"/>
          <w:szCs w:val="28"/>
          <w:lang w:val="el-GR"/>
        </w:rPr>
        <w:t xml:space="preserve">, </w:t>
      </w:r>
      <w:r w:rsidR="007D003D" w:rsidRPr="007D003D">
        <w:rPr>
          <w:rFonts w:ascii="Bookman Old Style" w:hAnsi="Bookman Old Style"/>
          <w:b/>
          <w:bCs/>
          <w:i/>
          <w:iCs/>
          <w:sz w:val="28"/>
          <w:szCs w:val="28"/>
          <w:lang w:val="el-GR"/>
        </w:rPr>
        <w:t xml:space="preserve">Κυριακίδης </w:t>
      </w:r>
      <w:r w:rsidR="007D003D" w:rsidRPr="007D003D">
        <w:rPr>
          <w:rFonts w:ascii="Bookman Old Style" w:hAnsi="Bookman Old Style"/>
          <w:b/>
          <w:bCs/>
          <w:i/>
          <w:iCs/>
          <w:sz w:val="28"/>
          <w:szCs w:val="28"/>
        </w:rPr>
        <w:t>v</w:t>
      </w:r>
      <w:r w:rsidR="007D003D" w:rsidRPr="007D003D">
        <w:rPr>
          <w:rFonts w:ascii="Bookman Old Style" w:hAnsi="Bookman Old Style"/>
          <w:b/>
          <w:bCs/>
          <w:i/>
          <w:iCs/>
          <w:sz w:val="28"/>
          <w:szCs w:val="28"/>
          <w:lang w:val="el-GR"/>
        </w:rPr>
        <w:t xml:space="preserve">. Τράπεζα Πειραιώς (Κύπρου) Λτδ, Πολ. Έφεση </w:t>
      </w:r>
      <w:proofErr w:type="spellStart"/>
      <w:r w:rsidR="007D003D" w:rsidRPr="007D003D">
        <w:rPr>
          <w:rFonts w:ascii="Bookman Old Style" w:hAnsi="Bookman Old Style"/>
          <w:b/>
          <w:bCs/>
          <w:i/>
          <w:iCs/>
          <w:sz w:val="28"/>
          <w:szCs w:val="28"/>
          <w:lang w:val="el-GR"/>
        </w:rPr>
        <w:t>Αρ</w:t>
      </w:r>
      <w:proofErr w:type="spellEnd"/>
      <w:r w:rsidR="007D003D" w:rsidRPr="007D003D">
        <w:rPr>
          <w:rFonts w:ascii="Bookman Old Style" w:hAnsi="Bookman Old Style"/>
          <w:b/>
          <w:bCs/>
          <w:i/>
          <w:iCs/>
          <w:sz w:val="28"/>
          <w:szCs w:val="28"/>
          <w:lang w:val="el-GR"/>
        </w:rPr>
        <w:t xml:space="preserve">. 185/2012, </w:t>
      </w:r>
      <w:proofErr w:type="spellStart"/>
      <w:r w:rsidR="007D003D" w:rsidRPr="007D003D">
        <w:rPr>
          <w:rFonts w:ascii="Bookman Old Style" w:hAnsi="Bookman Old Style"/>
          <w:b/>
          <w:bCs/>
          <w:i/>
          <w:iCs/>
          <w:sz w:val="28"/>
          <w:szCs w:val="28"/>
          <w:lang w:val="el-GR"/>
        </w:rPr>
        <w:t>ημερ</w:t>
      </w:r>
      <w:proofErr w:type="spellEnd"/>
      <w:r w:rsidR="007D003D" w:rsidRPr="007D003D">
        <w:rPr>
          <w:rFonts w:ascii="Bookman Old Style" w:hAnsi="Bookman Old Style"/>
          <w:b/>
          <w:bCs/>
          <w:i/>
          <w:iCs/>
          <w:sz w:val="28"/>
          <w:szCs w:val="28"/>
          <w:lang w:val="el-GR"/>
        </w:rPr>
        <w:t>. 19.4.2018</w:t>
      </w:r>
      <w:r w:rsidR="007D003D" w:rsidRPr="007D003D">
        <w:rPr>
          <w:rFonts w:ascii="Bookman Old Style" w:hAnsi="Bookman Old Style"/>
          <w:sz w:val="28"/>
          <w:szCs w:val="28"/>
          <w:lang w:val="el-GR"/>
        </w:rPr>
        <w:t>,</w:t>
      </w:r>
      <w:r w:rsidR="007D003D" w:rsidRPr="007D003D">
        <w:rPr>
          <w:rFonts w:ascii="Bookman Old Style" w:hAnsi="Bookman Old Style"/>
          <w:b/>
          <w:bCs/>
          <w:i/>
          <w:iCs/>
          <w:color w:val="000000"/>
          <w:sz w:val="28"/>
          <w:szCs w:val="28"/>
          <w:lang w:val="el-GR"/>
        </w:rPr>
        <w:t xml:space="preserve"> Παπαχριστοδούλου </w:t>
      </w:r>
      <w:r w:rsidR="007D003D" w:rsidRPr="007D003D">
        <w:rPr>
          <w:rFonts w:ascii="Bookman Old Style" w:hAnsi="Bookman Old Style"/>
          <w:b/>
          <w:bCs/>
          <w:i/>
          <w:iCs/>
          <w:color w:val="000000"/>
          <w:sz w:val="28"/>
          <w:szCs w:val="28"/>
        </w:rPr>
        <w:t>v</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Hellenic</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Bank</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Public</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Company</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Ltd</w:t>
      </w:r>
      <w:r w:rsidR="007D003D" w:rsidRPr="007D003D">
        <w:rPr>
          <w:rFonts w:ascii="Bookman Old Style" w:hAnsi="Bookman Old Style"/>
          <w:b/>
          <w:bCs/>
          <w:i/>
          <w:iCs/>
          <w:color w:val="000000"/>
          <w:sz w:val="28"/>
          <w:szCs w:val="28"/>
          <w:lang w:val="el-GR"/>
        </w:rPr>
        <w:t xml:space="preserve"> </w:t>
      </w:r>
      <w:r w:rsidR="007D003D" w:rsidRPr="007D003D">
        <w:rPr>
          <w:rFonts w:ascii="Bookman Old Style" w:eastAsia="Times New Roman" w:hAnsi="Bookman Old Style" w:cs="Times New Roman"/>
          <w:b/>
          <w:bCs/>
          <w:i/>
          <w:iCs/>
          <w:color w:val="000000"/>
          <w:kern w:val="0"/>
          <w:sz w:val="28"/>
          <w:szCs w:val="28"/>
          <w:lang w:val="el-GR"/>
          <w14:ligatures w14:val="none"/>
        </w:rPr>
        <w:t>(2016) 1Β Α.Α.Δ 1502</w:t>
      </w:r>
      <w:r w:rsidR="007D003D" w:rsidRPr="007D003D">
        <w:rPr>
          <w:rFonts w:ascii="Bookman Old Style" w:eastAsia="Times New Roman" w:hAnsi="Bookman Old Style" w:cs="Times New Roman"/>
          <w:color w:val="000000"/>
          <w:kern w:val="0"/>
          <w:sz w:val="28"/>
          <w:szCs w:val="28"/>
          <w:lang w:val="el-GR"/>
          <w14:ligatures w14:val="none"/>
        </w:rPr>
        <w:t xml:space="preserve">, </w:t>
      </w:r>
      <w:proofErr w:type="spellStart"/>
      <w:r w:rsidR="007D003D" w:rsidRPr="007D003D">
        <w:rPr>
          <w:rFonts w:ascii="Bookman Old Style" w:hAnsi="Bookman Old Style"/>
          <w:b/>
          <w:bCs/>
          <w:i/>
          <w:iCs/>
          <w:color w:val="000000"/>
          <w:sz w:val="28"/>
          <w:szCs w:val="28"/>
          <w:lang w:val="el-GR"/>
        </w:rPr>
        <w:t>Κουλλαπής</w:t>
      </w:r>
      <w:proofErr w:type="spellEnd"/>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v</w:t>
      </w:r>
      <w:r w:rsidR="007D003D" w:rsidRPr="007D003D">
        <w:rPr>
          <w:rFonts w:ascii="Bookman Old Style" w:hAnsi="Bookman Old Style"/>
          <w:b/>
          <w:bCs/>
          <w:i/>
          <w:iCs/>
          <w:color w:val="000000"/>
          <w:sz w:val="28"/>
          <w:szCs w:val="28"/>
          <w:lang w:val="el-GR"/>
        </w:rPr>
        <w:t>. Εθνική Τράπεζα της Ελλάδος (Κύπρου) Λτδ (2015) 1(Γ) Α.Α.Δ. 2376</w:t>
      </w:r>
      <w:r w:rsidR="000D4122">
        <w:rPr>
          <w:rFonts w:ascii="Bookman Old Style" w:hAnsi="Bookman Old Style"/>
          <w:color w:val="000000"/>
          <w:sz w:val="28"/>
          <w:szCs w:val="28"/>
          <w:lang w:val="el-GR"/>
        </w:rPr>
        <w:t xml:space="preserve"> και</w:t>
      </w:r>
      <w:r w:rsidR="007D003D" w:rsidRPr="007D003D">
        <w:rPr>
          <w:rFonts w:ascii="Bookman Old Style" w:hAnsi="Bookman Old Style"/>
          <w:color w:val="000000"/>
          <w:sz w:val="28"/>
          <w:szCs w:val="28"/>
          <w:lang w:val="el-GR"/>
        </w:rPr>
        <w:t xml:space="preserve"> </w:t>
      </w:r>
      <w:r w:rsidR="007D003D" w:rsidRPr="007D003D">
        <w:rPr>
          <w:rFonts w:ascii="Bookman Old Style" w:hAnsi="Bookman Old Style"/>
          <w:b/>
          <w:bCs/>
          <w:i/>
          <w:iCs/>
          <w:color w:val="000000"/>
          <w:sz w:val="28"/>
          <w:szCs w:val="28"/>
          <w:lang w:val="el-GR"/>
        </w:rPr>
        <w:t xml:space="preserve">Ζερβός </w:t>
      </w:r>
      <w:r w:rsidR="007D003D" w:rsidRPr="007D003D">
        <w:rPr>
          <w:rFonts w:ascii="Bookman Old Style" w:hAnsi="Bookman Old Style"/>
          <w:b/>
          <w:bCs/>
          <w:i/>
          <w:iCs/>
          <w:color w:val="000000"/>
          <w:sz w:val="28"/>
          <w:szCs w:val="28"/>
        </w:rPr>
        <w:t>v</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Hellenic</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Bank</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Public</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Company</w:t>
      </w:r>
      <w:r w:rsidR="007D003D" w:rsidRPr="007D003D">
        <w:rPr>
          <w:rFonts w:ascii="Bookman Old Style" w:hAnsi="Bookman Old Style"/>
          <w:b/>
          <w:bCs/>
          <w:i/>
          <w:iCs/>
          <w:color w:val="000000"/>
          <w:sz w:val="28"/>
          <w:szCs w:val="28"/>
          <w:lang w:val="el-GR"/>
        </w:rPr>
        <w:t xml:space="preserve"> </w:t>
      </w:r>
      <w:r w:rsidR="007D003D" w:rsidRPr="007D003D">
        <w:rPr>
          <w:rFonts w:ascii="Bookman Old Style" w:hAnsi="Bookman Old Style"/>
          <w:b/>
          <w:bCs/>
          <w:i/>
          <w:iCs/>
          <w:color w:val="000000"/>
          <w:sz w:val="28"/>
          <w:szCs w:val="28"/>
        </w:rPr>
        <w:t>Ltd</w:t>
      </w:r>
      <w:r w:rsidR="007D003D" w:rsidRPr="007D003D">
        <w:rPr>
          <w:rFonts w:ascii="Bookman Old Style" w:hAnsi="Bookman Old Style"/>
          <w:b/>
          <w:bCs/>
          <w:i/>
          <w:iCs/>
          <w:color w:val="000000"/>
          <w:sz w:val="28"/>
          <w:szCs w:val="28"/>
          <w:lang w:val="el-GR"/>
        </w:rPr>
        <w:t xml:space="preserve"> (2013) 1(Γ) Α.Α.Δ. 2357</w:t>
      </w:r>
      <w:r w:rsidR="007D003D">
        <w:rPr>
          <w:rFonts w:ascii="Bookman Old Style" w:hAnsi="Bookman Old Style"/>
          <w:color w:val="000000"/>
          <w:sz w:val="28"/>
          <w:szCs w:val="28"/>
          <w:lang w:val="el-GR"/>
        </w:rPr>
        <w:t>.</w:t>
      </w:r>
      <w:r w:rsidR="006701AE">
        <w:rPr>
          <w:rFonts w:ascii="Bookman Old Style" w:hAnsi="Bookman Old Style"/>
          <w:color w:val="000000"/>
          <w:sz w:val="28"/>
          <w:szCs w:val="28"/>
          <w:lang w:val="el-GR"/>
        </w:rPr>
        <w:t xml:space="preserve"> Αυτές οι υποθέσεις αφορούσαν παρόμοιας φύσης συμφωνίες και εκεί επισημάνθηκε ότι στη βάση των εν λόγω συμφωνιών, ο ρόλος της τράπεζας ήταν μόνο η παροχή διευκολύνσεων ενώ τη διεκπεραίωση των συναλλαγών είχε αναλάβει η χρηματιστηριακή εταιρεία δυνάμει άλλης ξεχωριστής συμφωνίας. Κρίνουμε χρήσιμο να παραθέσουμε το ακόλουθο απόσπασμα από την υπόθεση </w:t>
      </w:r>
      <w:r w:rsidR="006701AE" w:rsidRPr="006701AE">
        <w:rPr>
          <w:rFonts w:ascii="Bookman Old Style" w:hAnsi="Bookman Old Style"/>
          <w:b/>
          <w:bCs/>
          <w:i/>
          <w:iCs/>
          <w:color w:val="000000"/>
          <w:sz w:val="28"/>
          <w:szCs w:val="28"/>
          <w:lang w:val="el-GR"/>
        </w:rPr>
        <w:t>Ζερβός (ανωτέρω)</w:t>
      </w:r>
      <w:r w:rsidR="006701AE" w:rsidRPr="006701AE">
        <w:rPr>
          <w:rFonts w:ascii="Bookman Old Style" w:hAnsi="Bookman Old Style"/>
          <w:color w:val="000000"/>
          <w:sz w:val="28"/>
          <w:szCs w:val="28"/>
          <w:lang w:val="el-GR"/>
        </w:rPr>
        <w:t>:</w:t>
      </w:r>
    </w:p>
    <w:p w14:paraId="18777575" w14:textId="6A21B0AA" w:rsidR="00765914" w:rsidRPr="00C64753" w:rsidRDefault="006701AE" w:rsidP="00C64753">
      <w:pPr>
        <w:spacing w:after="0" w:line="240" w:lineRule="auto"/>
        <w:ind w:left="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w:t>
      </w:r>
      <w:r w:rsidR="00765914" w:rsidRPr="006701AE">
        <w:rPr>
          <w:rFonts w:ascii="Bookman Old Style" w:eastAsia="Times New Roman" w:hAnsi="Bookman Old Style" w:cs="Times New Roman"/>
          <w:i/>
          <w:iCs/>
          <w:color w:val="000000"/>
          <w:kern w:val="0"/>
          <w:sz w:val="28"/>
          <w:szCs w:val="28"/>
          <w:lang w:val="el-GR"/>
          <w14:ligatures w14:val="none"/>
        </w:rPr>
        <w:t xml:space="preserve">Πέραν όμως τούτου, θεωρούμε σκόπιμο να επισημάνουμε ότι η εφεσίβλητη ήταν απλά οι δανειστές του </w:t>
      </w:r>
      <w:proofErr w:type="spellStart"/>
      <w:r w:rsidR="00765914" w:rsidRPr="006701AE">
        <w:rPr>
          <w:rFonts w:ascii="Bookman Old Style" w:eastAsia="Times New Roman" w:hAnsi="Bookman Old Style" w:cs="Times New Roman"/>
          <w:i/>
          <w:iCs/>
          <w:color w:val="000000"/>
          <w:kern w:val="0"/>
          <w:sz w:val="28"/>
          <w:szCs w:val="28"/>
          <w:lang w:val="el-GR"/>
          <w14:ligatures w14:val="none"/>
        </w:rPr>
        <w:t>εφεσείοντα</w:t>
      </w:r>
      <w:proofErr w:type="spellEnd"/>
      <w:r w:rsidR="00765914" w:rsidRPr="006701AE">
        <w:rPr>
          <w:rFonts w:ascii="Bookman Old Style" w:eastAsia="Times New Roman" w:hAnsi="Bookman Old Style" w:cs="Times New Roman"/>
          <w:i/>
          <w:iCs/>
          <w:color w:val="000000"/>
          <w:kern w:val="0"/>
          <w:sz w:val="28"/>
          <w:szCs w:val="28"/>
          <w:lang w:val="el-GR"/>
          <w14:ligatures w14:val="none"/>
        </w:rPr>
        <w:t xml:space="preserve"> και όχι οι εντολοδόχοι της διαβίβασης εντολών για την αγοραπωλησία αξιών, εργασία που εκτελείτο από την ΕΤΕ, χρηματιστές του </w:t>
      </w:r>
      <w:proofErr w:type="spellStart"/>
      <w:r w:rsidR="00765914" w:rsidRPr="006701AE">
        <w:rPr>
          <w:rFonts w:ascii="Bookman Old Style" w:eastAsia="Times New Roman" w:hAnsi="Bookman Old Style" w:cs="Times New Roman"/>
          <w:i/>
          <w:iCs/>
          <w:color w:val="000000"/>
          <w:kern w:val="0"/>
          <w:sz w:val="28"/>
          <w:szCs w:val="28"/>
          <w:lang w:val="el-GR"/>
          <w14:ligatures w14:val="none"/>
        </w:rPr>
        <w:t>εφεσείοντα</w:t>
      </w:r>
      <w:proofErr w:type="spellEnd"/>
      <w:r w:rsidR="00765914" w:rsidRPr="006701AE">
        <w:rPr>
          <w:rFonts w:ascii="Bookman Old Style" w:eastAsia="Times New Roman" w:hAnsi="Bookman Old Style" w:cs="Times New Roman"/>
          <w:i/>
          <w:iCs/>
          <w:color w:val="000000"/>
          <w:kern w:val="0"/>
          <w:sz w:val="28"/>
          <w:szCs w:val="28"/>
          <w:lang w:val="el-GR"/>
          <w14:ligatures w14:val="none"/>
        </w:rPr>
        <w:t>, τους οποίους ο τελευταίος μάλιστα είχε εξουσιοδοτήσει δυνάμει της επίδικης συμφωνίας να διαχειρίζονται το λογαριασμό του και τους οποίους επέλεξε να μην καταστήσει διάδικους στην αγωγή.</w:t>
      </w:r>
      <w:r>
        <w:rPr>
          <w:rFonts w:ascii="Bookman Old Style" w:eastAsia="Times New Roman" w:hAnsi="Bookman Old Style" w:cs="Times New Roman"/>
          <w:color w:val="000000"/>
          <w:kern w:val="0"/>
          <w:sz w:val="28"/>
          <w:szCs w:val="28"/>
          <w:lang w:val="el-GR"/>
          <w14:ligatures w14:val="none"/>
        </w:rPr>
        <w:t>»</w:t>
      </w:r>
    </w:p>
    <w:p w14:paraId="4FF98000" w14:textId="06BBB062" w:rsidR="00765914" w:rsidRPr="00EF77DC" w:rsidRDefault="0028298A" w:rsidP="0028298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Ως εκ τούτου οι λόγοι έφεσης 4, 5 και 7 κρίνονται αβάσιμοι και απορρίπτονται. </w:t>
      </w:r>
    </w:p>
    <w:p w14:paraId="462DAB12" w14:textId="4DBE5448" w:rsidR="00C13E24" w:rsidRDefault="00BA18C1"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Όπως αναφέρεται ανωτέρω, το πρωτόδικο Δικαστήριο</w:t>
      </w:r>
      <w:r w:rsidR="008F2AF4">
        <w:rPr>
          <w:rFonts w:ascii="Bookman Old Style" w:hAnsi="Bookman Old Style"/>
          <w:sz w:val="28"/>
          <w:szCs w:val="28"/>
          <w:lang w:val="el-GR"/>
        </w:rPr>
        <w:t xml:space="preserve"> απέρριψε </w:t>
      </w:r>
      <w:r w:rsidR="00491383">
        <w:rPr>
          <w:rFonts w:ascii="Bookman Old Style" w:hAnsi="Bookman Old Style"/>
          <w:sz w:val="28"/>
          <w:szCs w:val="28"/>
          <w:lang w:val="el-GR"/>
        </w:rPr>
        <w:t xml:space="preserve">ως αναξιόπιστη </w:t>
      </w:r>
      <w:r w:rsidR="008F2AF4">
        <w:rPr>
          <w:rFonts w:ascii="Bookman Old Style" w:hAnsi="Bookman Old Style"/>
          <w:sz w:val="28"/>
          <w:szCs w:val="28"/>
          <w:lang w:val="el-GR"/>
        </w:rPr>
        <w:t xml:space="preserve">μόνο τη μαρτυρία του Εφεσείοντα. </w:t>
      </w:r>
      <w:r w:rsidR="00DF229A">
        <w:rPr>
          <w:rFonts w:ascii="Bookman Old Style" w:hAnsi="Bookman Old Style"/>
          <w:sz w:val="28"/>
          <w:szCs w:val="28"/>
          <w:lang w:val="el-GR"/>
        </w:rPr>
        <w:t xml:space="preserve">Με τον δεύτερο λόγο έφεσης αποδίδεται ότι το πρωτόδικο Δικαστήριο </w:t>
      </w:r>
      <w:r w:rsidR="001A5C3E">
        <w:rPr>
          <w:rFonts w:ascii="Bookman Old Style" w:hAnsi="Bookman Old Style"/>
          <w:sz w:val="28"/>
          <w:szCs w:val="28"/>
          <w:lang w:val="el-GR"/>
        </w:rPr>
        <w:t xml:space="preserve">λανθασμένα απέρριψε τη θέση του Εφεσείοντα </w:t>
      </w:r>
      <w:r w:rsidR="00DE3480">
        <w:rPr>
          <w:rFonts w:ascii="Bookman Old Style" w:hAnsi="Bookman Old Style"/>
          <w:sz w:val="28"/>
          <w:szCs w:val="28"/>
          <w:lang w:val="el-GR"/>
        </w:rPr>
        <w:t>πως</w:t>
      </w:r>
      <w:r w:rsidR="001A5C3E">
        <w:rPr>
          <w:rFonts w:ascii="Bookman Old Style" w:hAnsi="Bookman Old Style"/>
          <w:sz w:val="28"/>
          <w:szCs w:val="28"/>
          <w:lang w:val="el-GR"/>
        </w:rPr>
        <w:t xml:space="preserve"> το επίδικο δάνειο ήταν αποτέλεσμα αθέμιτης παρότρυνσης. </w:t>
      </w:r>
    </w:p>
    <w:p w14:paraId="52FF616F" w14:textId="4C4AA5C0" w:rsidR="00D905D3" w:rsidRDefault="009D79F9"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Στο πλαίσιο της αξιολόγησης του Εφεσείοντα, τ</w:t>
      </w:r>
      <w:r w:rsidR="008F2AF4">
        <w:rPr>
          <w:rFonts w:ascii="Bookman Old Style" w:hAnsi="Bookman Old Style"/>
          <w:sz w:val="28"/>
          <w:szCs w:val="28"/>
          <w:lang w:val="el-GR"/>
        </w:rPr>
        <w:t>ο πρωτόδικο Δικαστήριο παρέθεσε με σαφήνεια τους λόγους για τους οποίους ο Εφεσείων δεν άφησε θετική εντύπωση, επισημαίνοντας αναφορές του οι οποίες δεν υποστήριζαν τις θέσεις του</w:t>
      </w:r>
      <w:r w:rsidR="00900078" w:rsidRPr="00900078">
        <w:rPr>
          <w:rFonts w:ascii="Bookman Old Style" w:hAnsi="Bookman Old Style"/>
          <w:sz w:val="28"/>
          <w:szCs w:val="28"/>
          <w:lang w:val="el-GR"/>
        </w:rPr>
        <w:t xml:space="preserve"> </w:t>
      </w:r>
      <w:r w:rsidR="00900078">
        <w:rPr>
          <w:rFonts w:ascii="Bookman Old Style" w:hAnsi="Bookman Old Style"/>
          <w:sz w:val="28"/>
          <w:szCs w:val="28"/>
          <w:lang w:val="el-GR"/>
        </w:rPr>
        <w:t>για παρότρυνση και συμβουλές της Εφεσίβλητης προς τον ίδιο για το άνοιγμα του επίδικου λογαριασμού</w:t>
      </w:r>
      <w:r w:rsidR="009A3AA5">
        <w:rPr>
          <w:rFonts w:ascii="Bookman Old Style" w:hAnsi="Bookman Old Style"/>
          <w:sz w:val="28"/>
          <w:szCs w:val="28"/>
          <w:lang w:val="el-GR"/>
        </w:rPr>
        <w:t xml:space="preserve">, αναφορές </w:t>
      </w:r>
      <w:r w:rsidR="00FD560F">
        <w:rPr>
          <w:rFonts w:ascii="Bookman Old Style" w:hAnsi="Bookman Old Style"/>
          <w:sz w:val="28"/>
          <w:szCs w:val="28"/>
          <w:lang w:val="el-GR"/>
        </w:rPr>
        <w:t xml:space="preserve">του </w:t>
      </w:r>
      <w:r w:rsidR="009A3AA5">
        <w:rPr>
          <w:rFonts w:ascii="Bookman Old Style" w:hAnsi="Bookman Old Style"/>
          <w:sz w:val="28"/>
          <w:szCs w:val="28"/>
          <w:lang w:val="el-GR"/>
        </w:rPr>
        <w:t>οι οποίες</w:t>
      </w:r>
      <w:r w:rsidR="008F2AF4">
        <w:rPr>
          <w:rFonts w:ascii="Bookman Old Style" w:hAnsi="Bookman Old Style"/>
          <w:sz w:val="28"/>
          <w:szCs w:val="28"/>
          <w:lang w:val="el-GR"/>
        </w:rPr>
        <w:t xml:space="preserve"> δεν επιβεβαιώνονταν από τα έγγραφα στα οποία ο ίδιος παρέπεμ</w:t>
      </w:r>
      <w:r w:rsidR="001032BB">
        <w:rPr>
          <w:rFonts w:ascii="Bookman Old Style" w:hAnsi="Bookman Old Style"/>
          <w:sz w:val="28"/>
          <w:szCs w:val="28"/>
          <w:lang w:val="el-GR"/>
        </w:rPr>
        <w:t>ψ</w:t>
      </w:r>
      <w:r w:rsidR="008F2AF4">
        <w:rPr>
          <w:rFonts w:ascii="Bookman Old Style" w:hAnsi="Bookman Old Style"/>
          <w:sz w:val="28"/>
          <w:szCs w:val="28"/>
          <w:lang w:val="el-GR"/>
        </w:rPr>
        <w:t xml:space="preserve">ε, και ακόμα γενικές και αόριστες </w:t>
      </w:r>
      <w:r w:rsidR="009A3AA5">
        <w:rPr>
          <w:rFonts w:ascii="Bookman Old Style" w:hAnsi="Bookman Old Style"/>
          <w:sz w:val="28"/>
          <w:szCs w:val="28"/>
          <w:lang w:val="el-GR"/>
        </w:rPr>
        <w:t xml:space="preserve">τοποθετήσεις του. </w:t>
      </w:r>
    </w:p>
    <w:p w14:paraId="7AF86E6D" w14:textId="77777777" w:rsidR="00267DDA" w:rsidRDefault="00267DDA"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εισήγηση του Εφεσείοντα ότι η αθέμιτη παρότρυνση αφορούσε στα λεγόμενα του ΜΕ3 για το ότι οι τιμές των μετοχών ήταν ελκυστικές έχει ήδη κριθεί αβάσιμη στο πλαίσιο εξέτασης των λόγων έφεσης 5 και 7. </w:t>
      </w:r>
    </w:p>
    <w:p w14:paraId="0ED7B8D6" w14:textId="64675277" w:rsidR="00D928F8" w:rsidRDefault="00267DDA"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Α</w:t>
      </w:r>
      <w:r w:rsidR="002F2E05">
        <w:rPr>
          <w:rFonts w:ascii="Bookman Old Style" w:hAnsi="Bookman Old Style"/>
          <w:sz w:val="28"/>
          <w:szCs w:val="28"/>
          <w:lang w:val="el-GR"/>
        </w:rPr>
        <w:t>ποτ</w:t>
      </w:r>
      <w:r>
        <w:rPr>
          <w:rFonts w:ascii="Bookman Old Style" w:hAnsi="Bookman Old Style"/>
          <w:sz w:val="28"/>
          <w:szCs w:val="28"/>
          <w:lang w:val="el-GR"/>
        </w:rPr>
        <w:t>έλεσε</w:t>
      </w:r>
      <w:r w:rsidR="002F2E05">
        <w:rPr>
          <w:rFonts w:ascii="Bookman Old Style" w:hAnsi="Bookman Old Style"/>
          <w:sz w:val="28"/>
          <w:szCs w:val="28"/>
          <w:lang w:val="el-GR"/>
        </w:rPr>
        <w:t xml:space="preserve"> </w:t>
      </w:r>
      <w:r>
        <w:rPr>
          <w:rFonts w:ascii="Bookman Old Style" w:hAnsi="Bookman Old Style"/>
          <w:sz w:val="28"/>
          <w:szCs w:val="28"/>
          <w:lang w:val="el-GR"/>
        </w:rPr>
        <w:t xml:space="preserve">περαιτέρω </w:t>
      </w:r>
      <w:r w:rsidR="002F2E05">
        <w:rPr>
          <w:rFonts w:ascii="Bookman Old Style" w:hAnsi="Bookman Old Style"/>
          <w:sz w:val="28"/>
          <w:szCs w:val="28"/>
          <w:lang w:val="el-GR"/>
        </w:rPr>
        <w:t>εισήγηση του Εφεσε</w:t>
      </w:r>
      <w:r w:rsidR="00A178AC">
        <w:rPr>
          <w:rFonts w:ascii="Bookman Old Style" w:hAnsi="Bookman Old Style"/>
          <w:sz w:val="28"/>
          <w:szCs w:val="28"/>
          <w:lang w:val="el-GR"/>
        </w:rPr>
        <w:t>ίο</w:t>
      </w:r>
      <w:r w:rsidR="002F2E05">
        <w:rPr>
          <w:rFonts w:ascii="Bookman Old Style" w:hAnsi="Bookman Old Style"/>
          <w:sz w:val="28"/>
          <w:szCs w:val="28"/>
          <w:lang w:val="el-GR"/>
        </w:rPr>
        <w:t xml:space="preserve">ντα ότι </w:t>
      </w:r>
      <w:r>
        <w:rPr>
          <w:rFonts w:ascii="Bookman Old Style" w:hAnsi="Bookman Old Style"/>
          <w:sz w:val="28"/>
          <w:szCs w:val="28"/>
          <w:lang w:val="el-GR"/>
        </w:rPr>
        <w:t xml:space="preserve">η </w:t>
      </w:r>
      <w:r w:rsidR="00772498">
        <w:rPr>
          <w:rFonts w:ascii="Bookman Old Style" w:hAnsi="Bookman Old Style"/>
          <w:sz w:val="28"/>
          <w:szCs w:val="28"/>
          <w:lang w:val="el-GR"/>
        </w:rPr>
        <w:t xml:space="preserve">αθέμιτη παρότρυνση </w:t>
      </w:r>
      <w:r>
        <w:rPr>
          <w:rFonts w:ascii="Bookman Old Style" w:hAnsi="Bookman Old Style"/>
          <w:sz w:val="28"/>
          <w:szCs w:val="28"/>
          <w:lang w:val="el-GR"/>
        </w:rPr>
        <w:t xml:space="preserve">αφορούσε και </w:t>
      </w:r>
      <w:r w:rsidR="00772498">
        <w:rPr>
          <w:rFonts w:ascii="Bookman Old Style" w:hAnsi="Bookman Old Style"/>
          <w:sz w:val="28"/>
          <w:szCs w:val="28"/>
          <w:lang w:val="el-GR"/>
        </w:rPr>
        <w:t>σ</w:t>
      </w:r>
      <w:r>
        <w:rPr>
          <w:rFonts w:ascii="Bookman Old Style" w:hAnsi="Bookman Old Style"/>
          <w:sz w:val="28"/>
          <w:szCs w:val="28"/>
          <w:lang w:val="el-GR"/>
        </w:rPr>
        <w:t>ε</w:t>
      </w:r>
      <w:r w:rsidR="00772498">
        <w:rPr>
          <w:rFonts w:ascii="Bookman Old Style" w:hAnsi="Bookman Old Style"/>
          <w:sz w:val="28"/>
          <w:szCs w:val="28"/>
          <w:lang w:val="el-GR"/>
        </w:rPr>
        <w:t xml:space="preserve"> διάφορα δημοσιεύματα </w:t>
      </w:r>
      <w:r w:rsidR="00AF18A0">
        <w:rPr>
          <w:rFonts w:ascii="Bookman Old Style" w:hAnsi="Bookman Old Style"/>
          <w:sz w:val="28"/>
          <w:szCs w:val="28"/>
          <w:lang w:val="el-GR"/>
        </w:rPr>
        <w:t xml:space="preserve">και </w:t>
      </w:r>
      <w:r>
        <w:rPr>
          <w:rFonts w:ascii="Bookman Old Style" w:hAnsi="Bookman Old Style"/>
          <w:sz w:val="28"/>
          <w:szCs w:val="28"/>
          <w:lang w:val="el-GR"/>
        </w:rPr>
        <w:t xml:space="preserve">δηλώσεις </w:t>
      </w:r>
      <w:r w:rsidR="00A92EF5">
        <w:rPr>
          <w:rFonts w:ascii="Bookman Old Style" w:hAnsi="Bookman Old Style"/>
          <w:sz w:val="28"/>
          <w:szCs w:val="28"/>
          <w:lang w:val="el-GR"/>
        </w:rPr>
        <w:t>αξιωματούχων της Εφεσίβλητης</w:t>
      </w:r>
      <w:r w:rsidR="001C056B" w:rsidRPr="001C056B">
        <w:rPr>
          <w:rFonts w:ascii="Bookman Old Style" w:hAnsi="Bookman Old Style"/>
          <w:sz w:val="28"/>
          <w:szCs w:val="28"/>
          <w:lang w:val="el-GR"/>
        </w:rPr>
        <w:t xml:space="preserve">, </w:t>
      </w:r>
      <w:r w:rsidR="001C056B">
        <w:rPr>
          <w:rFonts w:ascii="Bookman Old Style" w:hAnsi="Bookman Old Style"/>
          <w:sz w:val="28"/>
          <w:szCs w:val="28"/>
          <w:lang w:val="el-GR"/>
        </w:rPr>
        <w:t>τα οποία το πρωτόδικο Δικαστήριο είτε αγνόησε</w:t>
      </w:r>
      <w:r w:rsidR="00004249">
        <w:rPr>
          <w:rFonts w:ascii="Bookman Old Style" w:hAnsi="Bookman Old Style"/>
          <w:sz w:val="28"/>
          <w:szCs w:val="28"/>
          <w:lang w:val="el-GR"/>
        </w:rPr>
        <w:t>,</w:t>
      </w:r>
      <w:r w:rsidR="001C056B">
        <w:rPr>
          <w:rFonts w:ascii="Bookman Old Style" w:hAnsi="Bookman Old Style"/>
          <w:sz w:val="28"/>
          <w:szCs w:val="28"/>
          <w:lang w:val="el-GR"/>
        </w:rPr>
        <w:t xml:space="preserve"> είτε δεν απέδωσε </w:t>
      </w:r>
      <w:r w:rsidR="00C64753">
        <w:rPr>
          <w:rFonts w:ascii="Bookman Old Style" w:hAnsi="Bookman Old Style"/>
          <w:sz w:val="28"/>
          <w:szCs w:val="28"/>
          <w:lang w:val="el-GR"/>
        </w:rPr>
        <w:t xml:space="preserve">σε αυτά </w:t>
      </w:r>
      <w:r w:rsidR="000647AC">
        <w:rPr>
          <w:rFonts w:ascii="Bookman Old Style" w:hAnsi="Bookman Old Style"/>
          <w:sz w:val="28"/>
          <w:szCs w:val="28"/>
          <w:lang w:val="el-GR"/>
        </w:rPr>
        <w:t xml:space="preserve">τη δέουσα </w:t>
      </w:r>
      <w:r w:rsidR="001C056B">
        <w:rPr>
          <w:rFonts w:ascii="Bookman Old Style" w:hAnsi="Bookman Old Style"/>
          <w:sz w:val="28"/>
          <w:szCs w:val="28"/>
          <w:lang w:val="el-GR"/>
        </w:rPr>
        <w:t>σημασία</w:t>
      </w:r>
      <w:r w:rsidR="00A92EF5">
        <w:rPr>
          <w:rFonts w:ascii="Bookman Old Style" w:hAnsi="Bookman Old Style"/>
          <w:sz w:val="28"/>
          <w:szCs w:val="28"/>
          <w:lang w:val="el-GR"/>
        </w:rPr>
        <w:t xml:space="preserve">. </w:t>
      </w:r>
    </w:p>
    <w:p w14:paraId="61090DBF" w14:textId="2AD00672" w:rsidR="001C056B" w:rsidRDefault="00D928F8"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Κατά την παράθεση της ενώπιον του μαρτυρίας, τ</w:t>
      </w:r>
      <w:r w:rsidR="004D5AB6">
        <w:rPr>
          <w:rFonts w:ascii="Bookman Old Style" w:hAnsi="Bookman Old Style"/>
          <w:sz w:val="28"/>
          <w:szCs w:val="28"/>
          <w:lang w:val="el-GR"/>
        </w:rPr>
        <w:t>ο πρωτόδικο Δικαστήριο αναφέρθηκε σε αυτό το σκέλος της μαρτυρίας του Εφεσείοντα</w:t>
      </w:r>
      <w:r>
        <w:rPr>
          <w:rFonts w:ascii="Bookman Old Style" w:hAnsi="Bookman Old Style"/>
          <w:sz w:val="28"/>
          <w:szCs w:val="28"/>
          <w:lang w:val="el-GR"/>
        </w:rPr>
        <w:t xml:space="preserve">. Παρόλο που δεν γίνεται ρητή αναφορά σε αυτό και κατά την αξιολόγηση της μαρτυρίας του Εφεσείοντα, εντούτοις αυτή αποτέλεσε αντικείμενο εξέτασης από το πρωτόδικο Δικαστήριο. </w:t>
      </w:r>
      <w:proofErr w:type="spellStart"/>
      <w:r>
        <w:rPr>
          <w:rFonts w:ascii="Bookman Old Style" w:hAnsi="Bookman Old Style"/>
          <w:sz w:val="28"/>
          <w:szCs w:val="28"/>
          <w:lang w:val="el-GR"/>
        </w:rPr>
        <w:t>Εξού</w:t>
      </w:r>
      <w:proofErr w:type="spellEnd"/>
      <w:r>
        <w:rPr>
          <w:rFonts w:ascii="Bookman Old Style" w:hAnsi="Bookman Old Style"/>
          <w:sz w:val="28"/>
          <w:szCs w:val="28"/>
          <w:lang w:val="el-GR"/>
        </w:rPr>
        <w:t xml:space="preserve"> και οι όποιες δηλώσεις προέρχονταν από την ΕΤΕ ορθά κρίθηκαν ότι δεν αποτελούσαν παρότρυνση από την Εφεσίβλητη. </w:t>
      </w:r>
      <w:r w:rsidR="005F3F23">
        <w:rPr>
          <w:rFonts w:ascii="Bookman Old Style" w:hAnsi="Bookman Old Style"/>
          <w:sz w:val="28"/>
          <w:szCs w:val="28"/>
          <w:lang w:val="el-GR"/>
        </w:rPr>
        <w:t xml:space="preserve">Σημειώνουμε ότι </w:t>
      </w:r>
      <w:r w:rsidR="000A6F3C">
        <w:rPr>
          <w:rFonts w:ascii="Bookman Old Style" w:hAnsi="Bookman Old Style"/>
          <w:sz w:val="28"/>
          <w:szCs w:val="28"/>
          <w:lang w:val="el-GR"/>
        </w:rPr>
        <w:t xml:space="preserve">κάποια εξ αυτών αφορούσαν εσωτερικά σημειώματα της Εφεσίβλητης προς τους υπάλληλους </w:t>
      </w:r>
      <w:r w:rsidR="00312E2E">
        <w:rPr>
          <w:rFonts w:ascii="Bookman Old Style" w:hAnsi="Bookman Old Style"/>
          <w:sz w:val="28"/>
          <w:szCs w:val="28"/>
          <w:lang w:val="el-GR"/>
        </w:rPr>
        <w:t>της</w:t>
      </w:r>
      <w:r w:rsidR="00555992" w:rsidRPr="00555992">
        <w:rPr>
          <w:rFonts w:ascii="Bookman Old Style" w:hAnsi="Bookman Old Style"/>
          <w:sz w:val="28"/>
          <w:szCs w:val="28"/>
          <w:lang w:val="el-GR"/>
        </w:rPr>
        <w:t xml:space="preserve"> </w:t>
      </w:r>
      <w:r w:rsidR="00555992">
        <w:rPr>
          <w:rFonts w:ascii="Bookman Old Style" w:hAnsi="Bookman Old Style"/>
          <w:sz w:val="28"/>
          <w:szCs w:val="28"/>
          <w:lang w:val="el-GR"/>
        </w:rPr>
        <w:t>για τη συμμετοχή τους στο εν λόγω σχέδιο</w:t>
      </w:r>
      <w:r w:rsidR="000A6F3C">
        <w:rPr>
          <w:rFonts w:ascii="Bookman Old Style" w:hAnsi="Bookman Old Style"/>
          <w:sz w:val="28"/>
          <w:szCs w:val="28"/>
          <w:lang w:val="el-GR"/>
        </w:rPr>
        <w:t xml:space="preserve">, </w:t>
      </w:r>
      <w:r w:rsidR="005F3F23">
        <w:rPr>
          <w:rFonts w:ascii="Bookman Old Style" w:hAnsi="Bookman Old Style"/>
          <w:sz w:val="28"/>
          <w:szCs w:val="28"/>
          <w:lang w:val="el-GR"/>
        </w:rPr>
        <w:t>κάποιες των δηλώσεων από αξιωματούχους της Εφεσίβλητης έγιναν μετά</w:t>
      </w:r>
      <w:r w:rsidR="00DA7E1D">
        <w:rPr>
          <w:rFonts w:ascii="Bookman Old Style" w:hAnsi="Bookman Old Style"/>
          <w:sz w:val="28"/>
          <w:szCs w:val="28"/>
          <w:lang w:val="el-GR"/>
        </w:rPr>
        <w:t xml:space="preserve"> την υποβολή της αίτησης για συμμετοχή στο επενδυτικό σχέδιο</w:t>
      </w:r>
      <w:r w:rsidR="005F3F23">
        <w:rPr>
          <w:rFonts w:ascii="Bookman Old Style" w:hAnsi="Bookman Old Style"/>
          <w:sz w:val="28"/>
          <w:szCs w:val="28"/>
          <w:lang w:val="el-GR"/>
        </w:rPr>
        <w:t xml:space="preserve">, </w:t>
      </w:r>
      <w:r w:rsidR="00C64753">
        <w:rPr>
          <w:rFonts w:ascii="Bookman Old Style" w:hAnsi="Bookman Old Style"/>
          <w:sz w:val="28"/>
          <w:szCs w:val="28"/>
          <w:lang w:val="el-GR"/>
        </w:rPr>
        <w:t xml:space="preserve">και </w:t>
      </w:r>
      <w:r w:rsidR="005F3F23">
        <w:rPr>
          <w:rFonts w:ascii="Bookman Old Style" w:hAnsi="Bookman Old Style"/>
          <w:sz w:val="28"/>
          <w:szCs w:val="28"/>
          <w:lang w:val="el-GR"/>
        </w:rPr>
        <w:t>κάποιες αφορούν δηλώσεις τρίτων προσώπων</w:t>
      </w:r>
      <w:r w:rsidR="00625BD2">
        <w:rPr>
          <w:rFonts w:ascii="Bookman Old Style" w:hAnsi="Bookman Old Style"/>
          <w:sz w:val="28"/>
          <w:szCs w:val="28"/>
          <w:lang w:val="el-GR"/>
        </w:rPr>
        <w:t>, όπως π.χ. το Υπουργείο Οικονομικών και τη Βουλή των Αντιπροσώπων,</w:t>
      </w:r>
      <w:r w:rsidR="005F3F23">
        <w:rPr>
          <w:rFonts w:ascii="Bookman Old Style" w:hAnsi="Bookman Old Style"/>
          <w:sz w:val="28"/>
          <w:szCs w:val="28"/>
          <w:lang w:val="el-GR"/>
        </w:rPr>
        <w:t xml:space="preserve"> </w:t>
      </w:r>
      <w:r w:rsidR="00625BD2">
        <w:rPr>
          <w:rFonts w:ascii="Bookman Old Style" w:hAnsi="Bookman Old Style"/>
          <w:sz w:val="28"/>
          <w:szCs w:val="28"/>
          <w:lang w:val="el-GR"/>
        </w:rPr>
        <w:t xml:space="preserve">οι οποίες </w:t>
      </w:r>
      <w:r w:rsidR="005F3F23">
        <w:rPr>
          <w:rFonts w:ascii="Bookman Old Style" w:hAnsi="Bookman Old Style"/>
          <w:sz w:val="28"/>
          <w:szCs w:val="28"/>
          <w:lang w:val="el-GR"/>
        </w:rPr>
        <w:t xml:space="preserve">δεν αφορούν καν στην Εφεσίβλητη </w:t>
      </w:r>
      <w:r w:rsidR="00625BD2">
        <w:rPr>
          <w:rFonts w:ascii="Bookman Old Style" w:hAnsi="Bookman Old Style"/>
          <w:sz w:val="28"/>
          <w:szCs w:val="28"/>
          <w:lang w:val="el-GR"/>
        </w:rPr>
        <w:t xml:space="preserve">ή αναφέρονται σε κάποιες γενικές διαπιστώσεις, οι οποίες ορθά δεν απασχόλησαν ειδικά το πρωτόδικο Δικαστήριο εφόσον δεν ήταν ικανές να θεωρηθούν ως παρότρυνση προς τον Εφεσείοντα για τη σύναψη της επίδικης συμφωνίας. </w:t>
      </w:r>
      <w:r>
        <w:rPr>
          <w:rFonts w:ascii="Bookman Old Style" w:hAnsi="Bookman Old Style"/>
          <w:sz w:val="28"/>
          <w:szCs w:val="28"/>
          <w:lang w:val="el-GR"/>
        </w:rPr>
        <w:lastRenderedPageBreak/>
        <w:t xml:space="preserve">Επιπλέον, </w:t>
      </w:r>
      <w:r w:rsidR="00313D16">
        <w:rPr>
          <w:rFonts w:ascii="Bookman Old Style" w:hAnsi="Bookman Old Style"/>
          <w:sz w:val="28"/>
          <w:szCs w:val="28"/>
          <w:lang w:val="el-GR"/>
        </w:rPr>
        <w:t>κατά την εξέταση της νομικής πτυχής της υπόθεσης, ορθά το πρωτόδικο Δικαστήριο θεώρησε ότι η όποια «</w:t>
      </w:r>
      <w:r w:rsidR="00313D16" w:rsidRPr="00313D16">
        <w:rPr>
          <w:rFonts w:ascii="Bookman Old Style" w:hAnsi="Bookman Old Style"/>
          <w:i/>
          <w:iCs/>
          <w:sz w:val="28"/>
          <w:szCs w:val="28"/>
          <w:lang w:val="el-GR"/>
        </w:rPr>
        <w:t>ψευδής παράσταση</w:t>
      </w:r>
      <w:r w:rsidR="00313D16">
        <w:rPr>
          <w:rFonts w:ascii="Bookman Old Style" w:hAnsi="Bookman Old Style"/>
          <w:sz w:val="28"/>
          <w:szCs w:val="28"/>
          <w:lang w:val="el-GR"/>
        </w:rPr>
        <w:t>» συνίσταται στο κατά πόσο η Εφεσίβλητη είχε γνήσια πεποίθηση ότι οι δηλώσεις της επί της συμφωνίας για το άνοιγμα του επενδυτικού λογαριασμού ήταν αληθείς, κάτι το οποίο έκρινε ότι δεν είχε αποδειχθεί.</w:t>
      </w:r>
      <w:r w:rsidR="00A62F10">
        <w:rPr>
          <w:rFonts w:ascii="Bookman Old Style" w:hAnsi="Bookman Old Style"/>
          <w:sz w:val="28"/>
          <w:szCs w:val="28"/>
          <w:lang w:val="el-GR"/>
        </w:rPr>
        <w:t xml:space="preserve"> </w:t>
      </w:r>
      <w:r w:rsidR="00313D16">
        <w:rPr>
          <w:rFonts w:ascii="Bookman Old Style" w:hAnsi="Bookman Old Style"/>
          <w:sz w:val="28"/>
          <w:szCs w:val="28"/>
          <w:lang w:val="el-GR"/>
        </w:rPr>
        <w:t xml:space="preserve"> </w:t>
      </w:r>
    </w:p>
    <w:p w14:paraId="3FD9AB13" w14:textId="6AB3D8EA" w:rsidR="005E1EEF" w:rsidRDefault="005E1EEF"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 Εφεσείων απέδωσε ιδιαίτερη σημασία στο γεγονός ότι η Εφεσίβλητη είχε προβεί σε χειραγώγηση τιμών</w:t>
      </w:r>
      <w:r w:rsidR="001038D9">
        <w:rPr>
          <w:rFonts w:ascii="Bookman Old Style" w:hAnsi="Bookman Old Style"/>
          <w:sz w:val="28"/>
          <w:szCs w:val="28"/>
          <w:lang w:val="el-GR"/>
        </w:rPr>
        <w:t xml:space="preserve"> μετοχών</w:t>
      </w:r>
      <w:r>
        <w:rPr>
          <w:rFonts w:ascii="Bookman Old Style" w:hAnsi="Bookman Old Style"/>
          <w:sz w:val="28"/>
          <w:szCs w:val="28"/>
          <w:lang w:val="el-GR"/>
        </w:rPr>
        <w:t xml:space="preserve">, </w:t>
      </w:r>
      <w:r w:rsidR="00363D2D">
        <w:rPr>
          <w:rFonts w:ascii="Bookman Old Style" w:hAnsi="Bookman Old Style"/>
          <w:sz w:val="28"/>
          <w:szCs w:val="28"/>
          <w:lang w:val="el-GR"/>
        </w:rPr>
        <w:t xml:space="preserve">σύμφωνα με </w:t>
      </w:r>
      <w:r>
        <w:rPr>
          <w:rFonts w:ascii="Bookman Old Style" w:hAnsi="Bookman Old Style"/>
          <w:sz w:val="28"/>
          <w:szCs w:val="28"/>
          <w:lang w:val="el-GR"/>
        </w:rPr>
        <w:t>το πόρισμα της Επιτροπής Κεφαλαιαγοράς</w:t>
      </w:r>
      <w:r w:rsidR="00363D2D">
        <w:rPr>
          <w:rFonts w:ascii="Bookman Old Style" w:hAnsi="Bookman Old Style"/>
          <w:sz w:val="28"/>
          <w:szCs w:val="28"/>
          <w:lang w:val="el-GR"/>
        </w:rPr>
        <w:t xml:space="preserve">. </w:t>
      </w:r>
      <w:r w:rsidR="006E5442">
        <w:rPr>
          <w:rFonts w:ascii="Bookman Old Style" w:hAnsi="Bookman Old Style"/>
          <w:sz w:val="28"/>
          <w:szCs w:val="28"/>
          <w:lang w:val="el-GR"/>
        </w:rPr>
        <w:t xml:space="preserve">Αποτέλεσε θέση του ότι η χειραγώγηση </w:t>
      </w:r>
      <w:r w:rsidR="00081AB8">
        <w:rPr>
          <w:rFonts w:ascii="Bookman Old Style" w:hAnsi="Bookman Old Style"/>
          <w:sz w:val="28"/>
          <w:szCs w:val="28"/>
          <w:lang w:val="el-GR"/>
        </w:rPr>
        <w:t xml:space="preserve">αναφέρεται και σε </w:t>
      </w:r>
      <w:r w:rsidR="006E5442">
        <w:rPr>
          <w:rFonts w:ascii="Bookman Old Style" w:hAnsi="Bookman Old Style"/>
          <w:sz w:val="28"/>
          <w:szCs w:val="28"/>
          <w:lang w:val="el-GR"/>
        </w:rPr>
        <w:t xml:space="preserve">δηλώσεις αξιωματούχων της Εφεσίβλητης. </w:t>
      </w:r>
      <w:r w:rsidR="000002D6">
        <w:rPr>
          <w:rFonts w:ascii="Bookman Old Style" w:hAnsi="Bookman Old Style"/>
          <w:sz w:val="28"/>
          <w:szCs w:val="28"/>
          <w:lang w:val="el-GR"/>
        </w:rPr>
        <w:t xml:space="preserve">Αυτό το ζήτημα αποτελεί το αντικείμενο του τρίτου λόγου έφεσης. </w:t>
      </w:r>
      <w:r>
        <w:rPr>
          <w:rFonts w:ascii="Bookman Old Style" w:hAnsi="Bookman Old Style"/>
          <w:sz w:val="28"/>
          <w:szCs w:val="28"/>
          <w:lang w:val="el-GR"/>
        </w:rPr>
        <w:t xml:space="preserve"> </w:t>
      </w:r>
    </w:p>
    <w:p w14:paraId="2C5D4D57" w14:textId="1E7425DD" w:rsidR="005A3717" w:rsidRPr="00E7351A" w:rsidRDefault="009A094A" w:rsidP="008F12AD">
      <w:pPr>
        <w:spacing w:before="240" w:line="480" w:lineRule="auto"/>
        <w:ind w:firstLine="567"/>
        <w:jc w:val="both"/>
        <w:rPr>
          <w:rFonts w:ascii="Bookman Old Style" w:hAnsi="Bookman Old Style"/>
          <w:sz w:val="28"/>
          <w:szCs w:val="28"/>
          <w:lang w:val="el-GR"/>
        </w:rPr>
      </w:pPr>
      <w:r w:rsidRPr="00E7351A">
        <w:rPr>
          <w:rFonts w:ascii="Bookman Old Style" w:hAnsi="Bookman Old Style"/>
          <w:sz w:val="28"/>
          <w:szCs w:val="28"/>
          <w:lang w:val="el-GR"/>
        </w:rPr>
        <w:t>Θεωρούμε ότι το πρωτόδικο Δικαστήριο εξέτασε με επιμέλεια αυτό το ζήτημα. Κατ’  αρχάς</w:t>
      </w:r>
      <w:r w:rsidR="00F74E27" w:rsidRPr="00E7351A">
        <w:rPr>
          <w:rFonts w:ascii="Bookman Old Style" w:hAnsi="Bookman Old Style"/>
          <w:sz w:val="28"/>
          <w:szCs w:val="28"/>
          <w:lang w:val="el-GR"/>
        </w:rPr>
        <w:t xml:space="preserve"> το πρωτόδικο Δικαστήριο δεν αμφισβήτησε την έκδοση και το περιεχόμενο του εν λόγω πορίσματος. Εκείνο το οποίο επεσήμανε ήταν αφενός ότι αυτό αφορά στην ΕΤΕ η οποία δια</w:t>
      </w:r>
      <w:r w:rsidR="00004249">
        <w:rPr>
          <w:rFonts w:ascii="Bookman Old Style" w:hAnsi="Bookman Old Style"/>
          <w:sz w:val="28"/>
          <w:szCs w:val="28"/>
          <w:lang w:val="el-GR"/>
        </w:rPr>
        <w:t>κρίνεται</w:t>
      </w:r>
      <w:r w:rsidR="00F74E27" w:rsidRPr="00E7351A">
        <w:rPr>
          <w:rFonts w:ascii="Bookman Old Style" w:hAnsi="Bookman Old Style"/>
          <w:sz w:val="28"/>
          <w:szCs w:val="28"/>
          <w:lang w:val="el-GR"/>
        </w:rPr>
        <w:t xml:space="preserve"> από την Εφεσίβλητη και αφετέρου την απουσία μαρτυρίας για την τήρηση των υπόλοιπων προϋποθέσεων της σχετικής νομοθεσίας</w:t>
      </w:r>
      <w:r w:rsidR="00E7351A" w:rsidRPr="00E7351A">
        <w:rPr>
          <w:rFonts w:ascii="Bookman Old Style" w:hAnsi="Bookman Old Style"/>
          <w:sz w:val="28"/>
          <w:szCs w:val="28"/>
          <w:lang w:val="el-GR"/>
        </w:rPr>
        <w:t xml:space="preserve">, και ειδικότερα του </w:t>
      </w:r>
      <w:r w:rsidR="00E7351A" w:rsidRPr="00E7351A">
        <w:rPr>
          <w:rFonts w:ascii="Bookman Old Style" w:hAnsi="Bookman Old Style"/>
          <w:b/>
          <w:bCs/>
          <w:i/>
          <w:iCs/>
          <w:sz w:val="28"/>
          <w:szCs w:val="28"/>
          <w:lang w:val="el-GR"/>
        </w:rPr>
        <w:t xml:space="preserve">άρθρου 39 </w:t>
      </w:r>
      <w:r w:rsidR="00E7351A" w:rsidRPr="00E7351A">
        <w:rPr>
          <w:rFonts w:ascii="Bookman Old Style" w:hAnsi="Bookman Old Style"/>
          <w:sz w:val="28"/>
          <w:szCs w:val="28"/>
          <w:lang w:val="el-GR"/>
        </w:rPr>
        <w:t>του</w:t>
      </w:r>
      <w:r w:rsidR="00E7351A" w:rsidRPr="00E7351A">
        <w:rPr>
          <w:rFonts w:ascii="Bookman Old Style" w:hAnsi="Bookman Old Style"/>
          <w:b/>
          <w:bCs/>
          <w:i/>
          <w:iCs/>
          <w:sz w:val="28"/>
          <w:szCs w:val="28"/>
          <w:lang w:val="el-GR"/>
        </w:rPr>
        <w:t xml:space="preserve"> περί της Επιτροπής Κεφαλαιαγοράς Κύπρου (Σύσταση και Αρμοδιότητες) Νόμου του 2001, Ν.</w:t>
      </w:r>
      <w:r w:rsidR="00521343">
        <w:rPr>
          <w:rFonts w:ascii="Bookman Old Style" w:hAnsi="Bookman Old Style"/>
          <w:b/>
          <w:bCs/>
          <w:i/>
          <w:iCs/>
          <w:sz w:val="28"/>
          <w:szCs w:val="28"/>
          <w:lang w:val="el-GR"/>
        </w:rPr>
        <w:t>64(Ι)/2001</w:t>
      </w:r>
      <w:r w:rsidR="00521343" w:rsidRPr="00521343">
        <w:rPr>
          <w:rFonts w:ascii="Bookman Old Style" w:hAnsi="Bookman Old Style"/>
          <w:sz w:val="28"/>
          <w:szCs w:val="28"/>
          <w:lang w:val="el-GR"/>
        </w:rPr>
        <w:t>,</w:t>
      </w:r>
      <w:r w:rsidR="00521343">
        <w:rPr>
          <w:rFonts w:ascii="Bookman Old Style" w:hAnsi="Bookman Old Style"/>
          <w:b/>
          <w:bCs/>
          <w:i/>
          <w:iCs/>
          <w:sz w:val="28"/>
          <w:szCs w:val="28"/>
          <w:lang w:val="el-GR"/>
        </w:rPr>
        <w:t xml:space="preserve"> </w:t>
      </w:r>
      <w:r w:rsidR="00004249">
        <w:rPr>
          <w:rFonts w:ascii="Bookman Old Style" w:hAnsi="Bookman Old Style"/>
          <w:sz w:val="28"/>
          <w:szCs w:val="28"/>
          <w:lang w:val="el-GR"/>
        </w:rPr>
        <w:t xml:space="preserve">σύμφωνα με το </w:t>
      </w:r>
      <w:r w:rsidR="00004249">
        <w:rPr>
          <w:rFonts w:ascii="Bookman Old Style" w:hAnsi="Bookman Old Style"/>
          <w:sz w:val="28"/>
          <w:szCs w:val="28"/>
          <w:lang w:val="el-GR"/>
        </w:rPr>
        <w:lastRenderedPageBreak/>
        <w:t xml:space="preserve">οποίο το πόρισμα έπρεπε να κοινοποιηθεί στην </w:t>
      </w:r>
      <w:r w:rsidR="00F74E27" w:rsidRPr="00E7351A">
        <w:rPr>
          <w:rFonts w:ascii="Bookman Old Style" w:hAnsi="Bookman Old Style"/>
          <w:sz w:val="28"/>
          <w:szCs w:val="28"/>
          <w:lang w:val="el-GR"/>
        </w:rPr>
        <w:t>Εφεσίβλητη για να τοποθετηθεί η τελευταία επί τούτου</w:t>
      </w:r>
      <w:r w:rsidR="00521343">
        <w:rPr>
          <w:rFonts w:ascii="Bookman Old Style" w:hAnsi="Bookman Old Style"/>
          <w:sz w:val="28"/>
          <w:szCs w:val="28"/>
          <w:lang w:val="el-GR"/>
        </w:rPr>
        <w:t xml:space="preserve"> πριν τη λήψη οποιασδήποτε απόφασης από την Επιτροπή</w:t>
      </w:r>
      <w:r w:rsidR="00F74E27" w:rsidRPr="00E7351A">
        <w:rPr>
          <w:rFonts w:ascii="Bookman Old Style" w:hAnsi="Bookman Old Style"/>
          <w:sz w:val="28"/>
          <w:szCs w:val="28"/>
          <w:lang w:val="el-GR"/>
        </w:rPr>
        <w:t xml:space="preserve">. </w:t>
      </w:r>
      <w:r w:rsidR="00E7351A" w:rsidRPr="00E7351A">
        <w:rPr>
          <w:rFonts w:ascii="Bookman Old Style" w:hAnsi="Bookman Old Style"/>
          <w:sz w:val="28"/>
          <w:szCs w:val="28"/>
          <w:lang w:val="el-GR"/>
        </w:rPr>
        <w:t xml:space="preserve">Το πρωτόδικο Δικαστήριο ορθώς άντλησε καθοδήγηση από την υπόθεση </w:t>
      </w:r>
      <w:r w:rsidR="00E7351A" w:rsidRPr="00E7351A">
        <w:rPr>
          <w:rFonts w:ascii="Bookman Old Style" w:hAnsi="Bookman Old Style"/>
          <w:b/>
          <w:bCs/>
          <w:i/>
          <w:iCs/>
          <w:sz w:val="28"/>
          <w:szCs w:val="28"/>
          <w:lang w:val="el-GR"/>
        </w:rPr>
        <w:t xml:space="preserve">Καλότυχος </w:t>
      </w:r>
      <w:r w:rsidR="00E7351A" w:rsidRPr="00E7351A">
        <w:rPr>
          <w:rFonts w:ascii="Bookman Old Style" w:hAnsi="Bookman Old Style"/>
          <w:b/>
          <w:bCs/>
          <w:i/>
          <w:iCs/>
          <w:sz w:val="28"/>
          <w:szCs w:val="28"/>
        </w:rPr>
        <w:t>v</w:t>
      </w:r>
      <w:r w:rsidR="00E7351A" w:rsidRPr="00E7351A">
        <w:rPr>
          <w:rFonts w:ascii="Bookman Old Style" w:hAnsi="Bookman Old Style"/>
          <w:b/>
          <w:bCs/>
          <w:i/>
          <w:iCs/>
          <w:sz w:val="28"/>
          <w:szCs w:val="28"/>
          <w:lang w:val="el-GR"/>
        </w:rPr>
        <w:t xml:space="preserve">. </w:t>
      </w:r>
      <w:r w:rsidR="00E7351A" w:rsidRPr="00E7351A">
        <w:rPr>
          <w:rFonts w:ascii="Bookman Old Style" w:hAnsi="Bookman Old Style"/>
          <w:b/>
          <w:bCs/>
          <w:i/>
          <w:iCs/>
          <w:sz w:val="28"/>
          <w:szCs w:val="28"/>
        </w:rPr>
        <w:t>Hellenic</w:t>
      </w:r>
      <w:r w:rsidR="00E7351A" w:rsidRPr="00E7351A">
        <w:rPr>
          <w:rFonts w:ascii="Bookman Old Style" w:hAnsi="Bookman Old Style"/>
          <w:b/>
          <w:bCs/>
          <w:i/>
          <w:iCs/>
          <w:sz w:val="28"/>
          <w:szCs w:val="28"/>
          <w:lang w:val="el-GR"/>
        </w:rPr>
        <w:t xml:space="preserve"> </w:t>
      </w:r>
      <w:r w:rsidR="00E7351A" w:rsidRPr="00E7351A">
        <w:rPr>
          <w:rFonts w:ascii="Bookman Old Style" w:hAnsi="Bookman Old Style"/>
          <w:b/>
          <w:bCs/>
          <w:i/>
          <w:iCs/>
          <w:sz w:val="28"/>
          <w:szCs w:val="28"/>
        </w:rPr>
        <w:t>Bank</w:t>
      </w:r>
      <w:r w:rsidR="00E7351A" w:rsidRPr="00E7351A">
        <w:rPr>
          <w:rFonts w:ascii="Bookman Old Style" w:hAnsi="Bookman Old Style"/>
          <w:b/>
          <w:bCs/>
          <w:i/>
          <w:iCs/>
          <w:sz w:val="28"/>
          <w:szCs w:val="28"/>
          <w:lang w:val="el-GR"/>
        </w:rPr>
        <w:t xml:space="preserve"> </w:t>
      </w:r>
      <w:r w:rsidR="00E7351A" w:rsidRPr="00E7351A">
        <w:rPr>
          <w:rFonts w:ascii="Bookman Old Style" w:hAnsi="Bookman Old Style"/>
          <w:b/>
          <w:bCs/>
          <w:i/>
          <w:iCs/>
          <w:sz w:val="28"/>
          <w:szCs w:val="28"/>
        </w:rPr>
        <w:t>Public</w:t>
      </w:r>
      <w:r w:rsidR="00E7351A" w:rsidRPr="00E7351A">
        <w:rPr>
          <w:rFonts w:ascii="Bookman Old Style" w:hAnsi="Bookman Old Style"/>
          <w:b/>
          <w:bCs/>
          <w:i/>
          <w:iCs/>
          <w:sz w:val="28"/>
          <w:szCs w:val="28"/>
          <w:lang w:val="el-GR"/>
        </w:rPr>
        <w:t xml:space="preserve"> </w:t>
      </w:r>
      <w:r w:rsidR="00E7351A" w:rsidRPr="00E7351A">
        <w:rPr>
          <w:rFonts w:ascii="Bookman Old Style" w:hAnsi="Bookman Old Style"/>
          <w:b/>
          <w:bCs/>
          <w:i/>
          <w:iCs/>
          <w:sz w:val="28"/>
          <w:szCs w:val="28"/>
        </w:rPr>
        <w:t>Company</w:t>
      </w:r>
      <w:r w:rsidR="00E7351A" w:rsidRPr="00E7351A">
        <w:rPr>
          <w:rFonts w:ascii="Bookman Old Style" w:hAnsi="Bookman Old Style"/>
          <w:b/>
          <w:bCs/>
          <w:i/>
          <w:iCs/>
          <w:sz w:val="28"/>
          <w:szCs w:val="28"/>
          <w:lang w:val="el-GR"/>
        </w:rPr>
        <w:t xml:space="preserve"> </w:t>
      </w:r>
      <w:r w:rsidR="00E7351A" w:rsidRPr="00E7351A">
        <w:rPr>
          <w:rFonts w:ascii="Bookman Old Style" w:hAnsi="Bookman Old Style"/>
          <w:b/>
          <w:bCs/>
          <w:i/>
          <w:iCs/>
          <w:sz w:val="28"/>
          <w:szCs w:val="28"/>
        </w:rPr>
        <w:t>Ltd</w:t>
      </w:r>
      <w:r w:rsidR="00E7351A" w:rsidRPr="00E7351A">
        <w:rPr>
          <w:rFonts w:ascii="Bookman Old Style" w:hAnsi="Bookman Old Style"/>
          <w:b/>
          <w:bCs/>
          <w:i/>
          <w:iCs/>
          <w:sz w:val="28"/>
          <w:szCs w:val="28"/>
          <w:lang w:val="el-GR"/>
        </w:rPr>
        <w:t xml:space="preserve"> (2013) 1(Α) Α.Α.Δ. 296</w:t>
      </w:r>
      <w:r w:rsidR="00E7351A">
        <w:rPr>
          <w:rFonts w:ascii="Bookman Old Style" w:hAnsi="Bookman Old Style"/>
          <w:sz w:val="28"/>
          <w:szCs w:val="28"/>
          <w:lang w:val="el-GR"/>
        </w:rPr>
        <w:t xml:space="preserve">, στην οποία λέχθηκε ότι η μη τήρηση των προνοιών του </w:t>
      </w:r>
      <w:r w:rsidR="00E7351A" w:rsidRPr="008F653B">
        <w:rPr>
          <w:rFonts w:ascii="Bookman Old Style" w:hAnsi="Bookman Old Style"/>
          <w:b/>
          <w:bCs/>
          <w:i/>
          <w:iCs/>
          <w:sz w:val="28"/>
          <w:szCs w:val="28"/>
          <w:lang w:val="el-GR"/>
        </w:rPr>
        <w:t>άρθρου 39</w:t>
      </w:r>
      <w:r w:rsidR="00E7351A">
        <w:rPr>
          <w:rFonts w:ascii="Bookman Old Style" w:hAnsi="Bookman Old Style"/>
          <w:sz w:val="28"/>
          <w:szCs w:val="28"/>
          <w:lang w:val="el-GR"/>
        </w:rPr>
        <w:t xml:space="preserve"> δεν προσδίδει οποιαδήποτε αξία στο πόρισμα </w:t>
      </w:r>
      <w:r w:rsidR="00E7351A">
        <w:rPr>
          <w:rFonts w:ascii="Bookman Old Style" w:hAnsi="Bookman Old Style"/>
          <w:color w:val="000000"/>
          <w:sz w:val="28"/>
          <w:szCs w:val="28"/>
          <w:lang w:val="el-GR"/>
        </w:rPr>
        <w:t xml:space="preserve">από μόνο του και </w:t>
      </w:r>
      <w:r w:rsidR="00E7351A" w:rsidRPr="00E7351A">
        <w:rPr>
          <w:rFonts w:ascii="Bookman Old Style" w:hAnsi="Bookman Old Style"/>
          <w:color w:val="000000"/>
          <w:sz w:val="28"/>
          <w:szCs w:val="28"/>
          <w:lang w:val="el-GR"/>
        </w:rPr>
        <w:t>οπωσδήποτε δεν μπορούσε να αποδοθεί οποιαδήποτε βαρύτητα</w:t>
      </w:r>
      <w:r w:rsidR="004972A2" w:rsidRPr="004972A2">
        <w:rPr>
          <w:rFonts w:ascii="Bookman Old Style" w:hAnsi="Bookman Old Style"/>
          <w:color w:val="000000"/>
          <w:sz w:val="28"/>
          <w:szCs w:val="28"/>
          <w:lang w:val="el-GR"/>
        </w:rPr>
        <w:t xml:space="preserve"> </w:t>
      </w:r>
      <w:r w:rsidR="004972A2" w:rsidRPr="00E7351A">
        <w:rPr>
          <w:rFonts w:ascii="Bookman Old Style" w:hAnsi="Bookman Old Style"/>
          <w:color w:val="000000"/>
          <w:sz w:val="28"/>
          <w:szCs w:val="28"/>
          <w:lang w:val="el-GR"/>
        </w:rPr>
        <w:t>στο περιεχόμεν</w:t>
      </w:r>
      <w:r w:rsidR="004972A2">
        <w:rPr>
          <w:rFonts w:ascii="Bookman Old Style" w:hAnsi="Bookman Old Style"/>
          <w:color w:val="000000"/>
          <w:sz w:val="28"/>
          <w:szCs w:val="28"/>
          <w:lang w:val="el-GR"/>
        </w:rPr>
        <w:t>ο</w:t>
      </w:r>
      <w:r w:rsidR="004972A2" w:rsidRPr="00E7351A">
        <w:rPr>
          <w:rFonts w:ascii="Bookman Old Style" w:hAnsi="Bookman Old Style"/>
          <w:color w:val="000000"/>
          <w:sz w:val="28"/>
          <w:szCs w:val="28"/>
          <w:lang w:val="el-GR"/>
        </w:rPr>
        <w:t xml:space="preserve"> του</w:t>
      </w:r>
      <w:r w:rsidR="00E7351A" w:rsidRPr="00E7351A">
        <w:rPr>
          <w:rFonts w:ascii="Bookman Old Style" w:hAnsi="Bookman Old Style"/>
          <w:color w:val="000000"/>
          <w:sz w:val="28"/>
          <w:szCs w:val="28"/>
          <w:lang w:val="el-GR"/>
        </w:rPr>
        <w:t>.</w:t>
      </w:r>
    </w:p>
    <w:p w14:paraId="359C6C8A" w14:textId="52F0995F" w:rsidR="001C056B" w:rsidRDefault="004972A2"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Επιπλέον, εύστοχα παρατήρησε το πρωτόδικο Δικαστήριο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δεν αγόρασε μετοχές της Ελληνικής Τράπεζας, της Τράπεζας Κύπρου ή της </w:t>
      </w:r>
      <w:proofErr w:type="spellStart"/>
      <w:r>
        <w:rPr>
          <w:rFonts w:ascii="Bookman Old Style" w:hAnsi="Bookman Old Style"/>
          <w:sz w:val="28"/>
          <w:szCs w:val="28"/>
        </w:rPr>
        <w:t>Aquasol</w:t>
      </w:r>
      <w:proofErr w:type="spellEnd"/>
      <w:r w:rsidRPr="004972A2">
        <w:rPr>
          <w:rFonts w:ascii="Bookman Old Style" w:hAnsi="Bookman Old Style"/>
          <w:sz w:val="28"/>
          <w:szCs w:val="28"/>
          <w:lang w:val="el-GR"/>
        </w:rPr>
        <w:t xml:space="preserve">, </w:t>
      </w:r>
      <w:r>
        <w:rPr>
          <w:rFonts w:ascii="Bookman Old Style" w:hAnsi="Bookman Old Style"/>
          <w:sz w:val="28"/>
          <w:szCs w:val="28"/>
          <w:lang w:val="el-GR"/>
        </w:rPr>
        <w:t>τις οποίες αφορούσε το πόρισμα</w:t>
      </w:r>
      <w:r w:rsidR="000C76FE">
        <w:rPr>
          <w:rFonts w:ascii="Bookman Old Style" w:hAnsi="Bookman Old Style"/>
          <w:sz w:val="28"/>
          <w:szCs w:val="28"/>
          <w:lang w:val="el-GR"/>
        </w:rPr>
        <w:t xml:space="preserve"> και η χειραγώγηση</w:t>
      </w:r>
      <w:r>
        <w:rPr>
          <w:rFonts w:ascii="Bookman Old Style" w:hAnsi="Bookman Old Style"/>
          <w:sz w:val="28"/>
          <w:szCs w:val="28"/>
          <w:lang w:val="el-GR"/>
        </w:rPr>
        <w:t xml:space="preserve">. </w:t>
      </w:r>
      <w:r w:rsidR="00292B11">
        <w:rPr>
          <w:rFonts w:ascii="Bookman Old Style" w:hAnsi="Bookman Old Style"/>
          <w:sz w:val="28"/>
          <w:szCs w:val="28"/>
          <w:lang w:val="el-GR"/>
        </w:rPr>
        <w:t xml:space="preserve">Ορθή επίσης ήταν και η διαπίστωση του ότι το πόρισμα αφορούσε τη χρονική περίοδο από 1.9.2000 μέχρι 23.9.2000, χωρίς να υπήρχε μαρτυρία πόσο διήρκησε, επομένως δεν υπήρχε μαρτυρία </w:t>
      </w:r>
      <w:r w:rsidR="00D43230">
        <w:rPr>
          <w:rFonts w:ascii="Bookman Old Style" w:hAnsi="Bookman Old Style"/>
          <w:sz w:val="28"/>
          <w:szCs w:val="28"/>
          <w:lang w:val="el-GR"/>
        </w:rPr>
        <w:t xml:space="preserve">κατά πόσο η χειραγώγηση υφίστατο κατά την ημερομηνία υπογραφής της επίδικης συμφωνίας με την Εφεσίβλητη. </w:t>
      </w:r>
    </w:p>
    <w:p w14:paraId="330ED70B" w14:textId="4A30995F" w:rsidR="00D43230" w:rsidRDefault="00D43230"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Τέλος, το πρωτόδικο Δικαστήριο ανέφερε ότι το εν λόγω πόρισμα δεν περιείχε τα στοιχεία εκείνα που ήταν ικανά να επηρεάσουν την εγκυρότητα της </w:t>
      </w:r>
      <w:r w:rsidR="006D5541">
        <w:rPr>
          <w:rFonts w:ascii="Bookman Old Style" w:hAnsi="Bookman Old Style"/>
          <w:sz w:val="28"/>
          <w:szCs w:val="28"/>
          <w:lang w:val="el-GR"/>
        </w:rPr>
        <w:t xml:space="preserve">επίδικης </w:t>
      </w:r>
      <w:r>
        <w:rPr>
          <w:rFonts w:ascii="Bookman Old Style" w:hAnsi="Bookman Old Style"/>
          <w:sz w:val="28"/>
          <w:szCs w:val="28"/>
          <w:lang w:val="el-GR"/>
        </w:rPr>
        <w:t xml:space="preserve">συμφωνίας, ότι δεν αποδίδεται οτιδήποτε στην Εφεσίβλητη σχετικό με τους όρους εντολής βάσει των οποίων ετοιμάστηκε το πόρισμα και ότι οι έρευνες του πορίσματος έγιναν για </w:t>
      </w:r>
      <w:r>
        <w:rPr>
          <w:rFonts w:ascii="Bookman Old Style" w:hAnsi="Bookman Old Style"/>
          <w:sz w:val="28"/>
          <w:szCs w:val="28"/>
          <w:lang w:val="el-GR"/>
        </w:rPr>
        <w:lastRenderedPageBreak/>
        <w:t xml:space="preserve">την περίοδο 1999-2000. </w:t>
      </w:r>
      <w:r w:rsidR="0039764C">
        <w:rPr>
          <w:rFonts w:ascii="Bookman Old Style" w:hAnsi="Bookman Old Style"/>
          <w:sz w:val="28"/>
          <w:szCs w:val="28"/>
          <w:lang w:val="el-GR"/>
        </w:rPr>
        <w:t xml:space="preserve">Το </w:t>
      </w:r>
      <w:r>
        <w:rPr>
          <w:rFonts w:ascii="Bookman Old Style" w:hAnsi="Bookman Old Style"/>
          <w:sz w:val="28"/>
          <w:szCs w:val="28"/>
          <w:lang w:val="el-GR"/>
        </w:rPr>
        <w:t xml:space="preserve">πρωτόδικο Δικαστήριο ασχολήθηκε και με τη μαρτυρία του ΜΥ3, προέδρου της Κοινοβουλευτικής Επιτροπής Παρακολούθησης Σχεδίων Ανάπτυξης και Ελέγχου Δημοσίων Δαπανών ο οποίος αναφέρθηκε σε έρευνα που έγινε και η οποία διαβιβάστηκε στον Γενικό Εισαγγελέα για τη διεξαγωγή έρευνας για </w:t>
      </w:r>
      <w:r w:rsidR="001B6E0D">
        <w:rPr>
          <w:rFonts w:ascii="Bookman Old Style" w:hAnsi="Bookman Old Style"/>
          <w:sz w:val="28"/>
          <w:szCs w:val="28"/>
          <w:lang w:val="el-GR"/>
        </w:rPr>
        <w:t xml:space="preserve">διάπραξη </w:t>
      </w:r>
      <w:r>
        <w:rPr>
          <w:rFonts w:ascii="Bookman Old Style" w:hAnsi="Bookman Old Style"/>
          <w:sz w:val="28"/>
          <w:szCs w:val="28"/>
          <w:lang w:val="el-GR"/>
        </w:rPr>
        <w:t>τυχόν αδικ</w:t>
      </w:r>
      <w:r w:rsidR="001B6E0D">
        <w:rPr>
          <w:rFonts w:ascii="Bookman Old Style" w:hAnsi="Bookman Old Style"/>
          <w:sz w:val="28"/>
          <w:szCs w:val="28"/>
          <w:lang w:val="el-GR"/>
        </w:rPr>
        <w:t>ημάτων</w:t>
      </w:r>
      <w:r>
        <w:rPr>
          <w:rFonts w:ascii="Bookman Old Style" w:hAnsi="Bookman Old Style"/>
          <w:sz w:val="28"/>
          <w:szCs w:val="28"/>
          <w:lang w:val="el-GR"/>
        </w:rPr>
        <w:t>, χωρίς όμως οι ποινικές έρευνες να</w:t>
      </w:r>
      <w:r w:rsidR="00B830EF">
        <w:rPr>
          <w:rFonts w:ascii="Bookman Old Style" w:hAnsi="Bookman Old Style"/>
          <w:sz w:val="28"/>
          <w:szCs w:val="28"/>
          <w:lang w:val="el-GR"/>
        </w:rPr>
        <w:t xml:space="preserve"> είχα</w:t>
      </w:r>
      <w:r w:rsidR="001B6E0D">
        <w:rPr>
          <w:rFonts w:ascii="Bookman Old Style" w:hAnsi="Bookman Old Style"/>
          <w:sz w:val="28"/>
          <w:szCs w:val="28"/>
          <w:lang w:val="el-GR"/>
        </w:rPr>
        <w:t xml:space="preserve">ν καταλήξει </w:t>
      </w:r>
      <w:r>
        <w:rPr>
          <w:rFonts w:ascii="Bookman Old Style" w:hAnsi="Bookman Old Style"/>
          <w:sz w:val="28"/>
          <w:szCs w:val="28"/>
          <w:lang w:val="el-GR"/>
        </w:rPr>
        <w:t xml:space="preserve">σε αποτέλεσμα. Ήταν ορθή η διαπίστωση του πρωτόδικου Δικαστηρίου ότι </w:t>
      </w:r>
      <w:r w:rsidR="009A5A94">
        <w:rPr>
          <w:rFonts w:ascii="Bookman Old Style" w:hAnsi="Bookman Old Style"/>
          <w:sz w:val="28"/>
          <w:szCs w:val="28"/>
          <w:lang w:val="el-GR"/>
        </w:rPr>
        <w:t>αποτέλεσε</w:t>
      </w:r>
      <w:r>
        <w:rPr>
          <w:rFonts w:ascii="Bookman Old Style" w:hAnsi="Bookman Old Style"/>
          <w:sz w:val="28"/>
          <w:szCs w:val="28"/>
          <w:lang w:val="el-GR"/>
        </w:rPr>
        <w:t xml:space="preserve"> βασική θέση όλων πως ήταν κοινό μυστικό ότι υπήρξαν φαινόμενα χειραγώγησης στο ΧΑΚ, θέση η οποία φυσικά δεν ήταν ικανή να αποδώσει στην Εφεσίβλητη τα όσα της καταλόγιζε ο Εφεσείων ως παρότρυνση για την σύναψη της επίδικης συμφωνίας. </w:t>
      </w:r>
    </w:p>
    <w:p w14:paraId="03D3BF18" w14:textId="017F8B9B" w:rsidR="00CA2AB7" w:rsidRDefault="00702F6F"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Η εισήγηση του Εφεσείοντ</w:t>
      </w:r>
      <w:r w:rsidR="00910F20">
        <w:rPr>
          <w:rFonts w:ascii="Bookman Old Style" w:hAnsi="Bookman Old Style"/>
          <w:sz w:val="28"/>
          <w:szCs w:val="28"/>
          <w:lang w:val="el-GR"/>
        </w:rPr>
        <w:t>α</w:t>
      </w:r>
      <w:r>
        <w:rPr>
          <w:rFonts w:ascii="Bookman Old Style" w:hAnsi="Bookman Old Style"/>
          <w:sz w:val="28"/>
          <w:szCs w:val="28"/>
          <w:lang w:val="el-GR"/>
        </w:rPr>
        <w:t xml:space="preserve"> ότι το πρωτόδικο Δικαστήριο αναζητούσε ποινική ευθύνη για να καταλογίσει παρότρυνση στην Εφεσίβλητη </w:t>
      </w:r>
      <w:r w:rsidR="00904869">
        <w:rPr>
          <w:rFonts w:ascii="Bookman Old Style" w:hAnsi="Bookman Old Style"/>
          <w:sz w:val="28"/>
          <w:szCs w:val="28"/>
          <w:lang w:val="el-GR"/>
        </w:rPr>
        <w:t xml:space="preserve">δεν </w:t>
      </w:r>
      <w:r w:rsidR="006D5541">
        <w:rPr>
          <w:rFonts w:ascii="Bookman Old Style" w:hAnsi="Bookman Old Style"/>
          <w:sz w:val="28"/>
          <w:szCs w:val="28"/>
          <w:lang w:val="el-GR"/>
        </w:rPr>
        <w:t xml:space="preserve">είναι </w:t>
      </w:r>
      <w:r w:rsidR="00904869">
        <w:rPr>
          <w:rFonts w:ascii="Bookman Old Style" w:hAnsi="Bookman Old Style"/>
          <w:sz w:val="28"/>
          <w:szCs w:val="28"/>
          <w:lang w:val="el-GR"/>
        </w:rPr>
        <w:t>βάσιμη. Το πρωτόδικο Δικαστήριο σημείωσε ότι τ</w:t>
      </w:r>
      <w:r w:rsidR="00B22ED4">
        <w:rPr>
          <w:rFonts w:ascii="Bookman Old Style" w:hAnsi="Bookman Old Style"/>
          <w:sz w:val="28"/>
          <w:szCs w:val="28"/>
          <w:lang w:val="el-GR"/>
        </w:rPr>
        <w:t>όσο το</w:t>
      </w:r>
      <w:r w:rsidR="00904869">
        <w:rPr>
          <w:rFonts w:ascii="Bookman Old Style" w:hAnsi="Bookman Old Style"/>
          <w:sz w:val="28"/>
          <w:szCs w:val="28"/>
          <w:lang w:val="el-GR"/>
        </w:rPr>
        <w:t xml:space="preserve"> πόρισμα </w:t>
      </w:r>
      <w:r w:rsidR="00B22ED4">
        <w:rPr>
          <w:rFonts w:ascii="Bookman Old Style" w:hAnsi="Bookman Old Style"/>
          <w:sz w:val="28"/>
          <w:szCs w:val="28"/>
          <w:lang w:val="el-GR"/>
        </w:rPr>
        <w:t xml:space="preserve">όσο και η έρευνα </w:t>
      </w:r>
      <w:r w:rsidR="00904869">
        <w:rPr>
          <w:rFonts w:ascii="Bookman Old Style" w:hAnsi="Bookman Old Style"/>
          <w:sz w:val="28"/>
          <w:szCs w:val="28"/>
          <w:lang w:val="el-GR"/>
        </w:rPr>
        <w:t>δεν κατέληξ</w:t>
      </w:r>
      <w:r w:rsidR="00B22ED4">
        <w:rPr>
          <w:rFonts w:ascii="Bookman Old Style" w:hAnsi="Bookman Old Style"/>
          <w:sz w:val="28"/>
          <w:szCs w:val="28"/>
          <w:lang w:val="el-GR"/>
        </w:rPr>
        <w:t>αν</w:t>
      </w:r>
      <w:r w:rsidR="00904869">
        <w:rPr>
          <w:rFonts w:ascii="Bookman Old Style" w:hAnsi="Bookman Old Style"/>
          <w:sz w:val="28"/>
          <w:szCs w:val="28"/>
          <w:lang w:val="el-GR"/>
        </w:rPr>
        <w:t xml:space="preserve"> σε οποιαδήποτε ποινική καταδίκη</w:t>
      </w:r>
      <w:r w:rsidR="0051230F" w:rsidRPr="00555992">
        <w:rPr>
          <w:rFonts w:ascii="Bookman Old Style" w:hAnsi="Bookman Old Style"/>
          <w:sz w:val="28"/>
          <w:szCs w:val="28"/>
          <w:lang w:val="el-GR"/>
        </w:rPr>
        <w:t xml:space="preserve">, </w:t>
      </w:r>
      <w:r w:rsidR="0051230F">
        <w:rPr>
          <w:rFonts w:ascii="Bookman Old Style" w:hAnsi="Bookman Old Style"/>
          <w:sz w:val="28"/>
          <w:szCs w:val="28"/>
          <w:lang w:val="el-GR"/>
        </w:rPr>
        <w:t xml:space="preserve">όχι στη βάση του ότι </w:t>
      </w:r>
      <w:r w:rsidR="006D5541">
        <w:rPr>
          <w:rFonts w:ascii="Bookman Old Style" w:hAnsi="Bookman Old Style"/>
          <w:sz w:val="28"/>
          <w:szCs w:val="28"/>
          <w:lang w:val="el-GR"/>
        </w:rPr>
        <w:t xml:space="preserve">απουσία </w:t>
      </w:r>
      <w:r w:rsidR="0051230F">
        <w:rPr>
          <w:rFonts w:ascii="Bookman Old Style" w:hAnsi="Bookman Old Style"/>
          <w:sz w:val="28"/>
          <w:szCs w:val="28"/>
          <w:lang w:val="el-GR"/>
        </w:rPr>
        <w:t>καταδίκη</w:t>
      </w:r>
      <w:r w:rsidR="006D5541">
        <w:rPr>
          <w:rFonts w:ascii="Bookman Old Style" w:hAnsi="Bookman Old Style"/>
          <w:sz w:val="28"/>
          <w:szCs w:val="28"/>
          <w:lang w:val="el-GR"/>
        </w:rPr>
        <w:t>ς</w:t>
      </w:r>
      <w:r w:rsidR="0051230F">
        <w:rPr>
          <w:rFonts w:ascii="Bookman Old Style" w:hAnsi="Bookman Old Style"/>
          <w:sz w:val="28"/>
          <w:szCs w:val="28"/>
          <w:lang w:val="el-GR"/>
        </w:rPr>
        <w:t xml:space="preserve"> αναιρούσε την όποια δυνατότητα απόδοσης ευθύνης στην Εφεσίβλητη, αλλά </w:t>
      </w:r>
      <w:r w:rsidR="00855AA2">
        <w:rPr>
          <w:rFonts w:ascii="Bookman Old Style" w:hAnsi="Bookman Old Style"/>
          <w:sz w:val="28"/>
          <w:szCs w:val="28"/>
          <w:lang w:val="el-GR"/>
        </w:rPr>
        <w:t xml:space="preserve">στη βάση του ότι τελικώς τόσο το </w:t>
      </w:r>
      <w:r w:rsidR="0051230F">
        <w:rPr>
          <w:rFonts w:ascii="Bookman Old Style" w:hAnsi="Bookman Old Style"/>
          <w:sz w:val="28"/>
          <w:szCs w:val="28"/>
          <w:lang w:val="el-GR"/>
        </w:rPr>
        <w:t>π</w:t>
      </w:r>
      <w:r w:rsidR="00855AA2">
        <w:rPr>
          <w:rFonts w:ascii="Bookman Old Style" w:hAnsi="Bookman Old Style"/>
          <w:sz w:val="28"/>
          <w:szCs w:val="28"/>
          <w:lang w:val="el-GR"/>
        </w:rPr>
        <w:t>όρισμα</w:t>
      </w:r>
      <w:r w:rsidR="0051230F">
        <w:rPr>
          <w:rFonts w:ascii="Bookman Old Style" w:hAnsi="Bookman Old Style"/>
          <w:sz w:val="28"/>
          <w:szCs w:val="28"/>
          <w:lang w:val="el-GR"/>
        </w:rPr>
        <w:t xml:space="preserve"> όσο και </w:t>
      </w:r>
      <w:r w:rsidR="00855AA2">
        <w:rPr>
          <w:rFonts w:ascii="Bookman Old Style" w:hAnsi="Bookman Old Style"/>
          <w:sz w:val="28"/>
          <w:szCs w:val="28"/>
          <w:lang w:val="el-GR"/>
        </w:rPr>
        <w:t>η</w:t>
      </w:r>
      <w:r w:rsidR="0051230F">
        <w:rPr>
          <w:rFonts w:ascii="Bookman Old Style" w:hAnsi="Bookman Old Style"/>
          <w:sz w:val="28"/>
          <w:szCs w:val="28"/>
          <w:lang w:val="el-GR"/>
        </w:rPr>
        <w:t xml:space="preserve"> έρευνα</w:t>
      </w:r>
      <w:r w:rsidR="00855AA2">
        <w:rPr>
          <w:rFonts w:ascii="Bookman Old Style" w:hAnsi="Bookman Old Style"/>
          <w:sz w:val="28"/>
          <w:szCs w:val="28"/>
          <w:lang w:val="el-GR"/>
        </w:rPr>
        <w:t xml:space="preserve"> </w:t>
      </w:r>
      <w:r w:rsidR="001911DA">
        <w:rPr>
          <w:rFonts w:ascii="Bookman Old Style" w:hAnsi="Bookman Old Style"/>
          <w:sz w:val="28"/>
          <w:szCs w:val="28"/>
          <w:lang w:val="el-GR"/>
        </w:rPr>
        <w:t>δεν προχώρησαν σε τυχόν ποινικές διώξεις</w:t>
      </w:r>
      <w:r w:rsidR="0039764C">
        <w:rPr>
          <w:rFonts w:ascii="Bookman Old Style" w:hAnsi="Bookman Old Style"/>
          <w:sz w:val="28"/>
          <w:szCs w:val="28"/>
          <w:lang w:val="el-GR"/>
        </w:rPr>
        <w:t xml:space="preserve"> και εν πάση περιπτώσει δεν ήταν ικανά να θεωρηθούν με οποιονδήποτε τρόπο ως </w:t>
      </w:r>
      <w:r w:rsidR="0039764C">
        <w:rPr>
          <w:rFonts w:ascii="Bookman Old Style" w:hAnsi="Bookman Old Style"/>
          <w:sz w:val="28"/>
          <w:szCs w:val="28"/>
          <w:lang w:val="el-GR"/>
        </w:rPr>
        <w:lastRenderedPageBreak/>
        <w:t>παρότρυνση προς τον Εφεσείοντα για να συνάψει την επίδικη συμφωνία</w:t>
      </w:r>
      <w:r w:rsidR="0051230F">
        <w:rPr>
          <w:rFonts w:ascii="Bookman Old Style" w:hAnsi="Bookman Old Style"/>
          <w:sz w:val="28"/>
          <w:szCs w:val="28"/>
          <w:lang w:val="el-GR"/>
        </w:rPr>
        <w:t xml:space="preserve">. </w:t>
      </w:r>
    </w:p>
    <w:p w14:paraId="7C4E48E9" w14:textId="0F489BF4" w:rsidR="00840D02" w:rsidRDefault="00840D02"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Επανερχόμενοι στον δεύτερο λόγο έφεσης, κρίνουμε αβάσιμη την εισήγηση του Εφεσείοντα ότι το εύρημα του πρωτόδικου Δικαστηρίου πως ο Εφεσείων προέβη στη σύναψη της συμφωνίας επειδή δεν είχε μετρητά, είναι λανθασμένο. Το εύρημα του πρωτόδικου Δικαστηρίου ήταν πως ο Εφεσείων δεν παρακινήθηκε από οποιονδήποτε υπάλληλο της Εφεσίβλητης</w:t>
      </w:r>
      <w:r w:rsidR="006D5541">
        <w:rPr>
          <w:rFonts w:ascii="Bookman Old Style" w:hAnsi="Bookman Old Style"/>
          <w:sz w:val="28"/>
          <w:szCs w:val="28"/>
          <w:lang w:val="el-GR"/>
        </w:rPr>
        <w:t>,</w:t>
      </w:r>
      <w:r>
        <w:rPr>
          <w:rFonts w:ascii="Bookman Old Style" w:hAnsi="Bookman Old Style"/>
          <w:sz w:val="28"/>
          <w:szCs w:val="28"/>
          <w:lang w:val="el-GR"/>
        </w:rPr>
        <w:t xml:space="preserve"> αλλά ενδιαφέρθηκε από μόνος του να διαπραγματευθεί μετοχές στο ΧΑΚ και </w:t>
      </w:r>
      <w:r w:rsidR="00C64753">
        <w:rPr>
          <w:rFonts w:ascii="Bookman Old Style" w:hAnsi="Bookman Old Style"/>
          <w:sz w:val="28"/>
          <w:szCs w:val="28"/>
          <w:lang w:val="el-GR"/>
        </w:rPr>
        <w:t xml:space="preserve">το Δικαστήριο </w:t>
      </w:r>
      <w:r>
        <w:rPr>
          <w:rFonts w:ascii="Bookman Old Style" w:hAnsi="Bookman Old Style"/>
          <w:sz w:val="28"/>
          <w:szCs w:val="28"/>
          <w:lang w:val="el-GR"/>
        </w:rPr>
        <w:t xml:space="preserve">προέβη σε μια εκτίμηση αναφέροντας τους προφανείς πιθανούς λόγους που </w:t>
      </w:r>
      <w:r w:rsidR="00C64753">
        <w:rPr>
          <w:rFonts w:ascii="Bookman Old Style" w:hAnsi="Bookman Old Style"/>
          <w:sz w:val="28"/>
          <w:szCs w:val="28"/>
          <w:lang w:val="el-GR"/>
        </w:rPr>
        <w:t xml:space="preserve">ο Εφεσείων </w:t>
      </w:r>
      <w:r>
        <w:rPr>
          <w:rFonts w:ascii="Bookman Old Style" w:hAnsi="Bookman Old Style"/>
          <w:sz w:val="28"/>
          <w:szCs w:val="28"/>
          <w:lang w:val="el-GR"/>
        </w:rPr>
        <w:t>έπραξε τούτο, χωρίς βεβαίως αυτοί να ενέχουν οποιαδήποτε σημασία ή να επηρεάζουν τα ευρήματα ή τη νομική ανάλυση στ</w:t>
      </w:r>
      <w:r w:rsidR="006D5541">
        <w:rPr>
          <w:rFonts w:ascii="Bookman Old Style" w:hAnsi="Bookman Old Style"/>
          <w:sz w:val="28"/>
          <w:szCs w:val="28"/>
          <w:lang w:val="el-GR"/>
        </w:rPr>
        <w:t>ην</w:t>
      </w:r>
      <w:r>
        <w:rPr>
          <w:rFonts w:ascii="Bookman Old Style" w:hAnsi="Bookman Old Style"/>
          <w:sz w:val="28"/>
          <w:szCs w:val="28"/>
          <w:lang w:val="el-GR"/>
        </w:rPr>
        <w:t xml:space="preserve"> οποία προέβη το Δικαστήριο. </w:t>
      </w:r>
    </w:p>
    <w:p w14:paraId="3CFEAD8A" w14:textId="7BB528E6" w:rsidR="00C64753" w:rsidRDefault="00C64753"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Επομένως, οι λόγοι έφεσης 2 και 3 απορρίπτονται.</w:t>
      </w:r>
    </w:p>
    <w:p w14:paraId="44372801" w14:textId="676F8999" w:rsidR="00A359CB" w:rsidRDefault="008F6FE7"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 έκτος λόγος έφεσης αφορά σε «</w:t>
      </w:r>
      <w:r w:rsidRPr="008F6FE7">
        <w:rPr>
          <w:rFonts w:ascii="Bookman Old Style" w:hAnsi="Bookman Old Style"/>
          <w:i/>
          <w:iCs/>
          <w:sz w:val="28"/>
          <w:szCs w:val="28"/>
          <w:lang w:val="el-GR"/>
        </w:rPr>
        <w:t>λανθασμένες και άσχετες διαπιστώσεις</w:t>
      </w:r>
      <w:r>
        <w:rPr>
          <w:rFonts w:ascii="Bookman Old Style" w:hAnsi="Bookman Old Style"/>
          <w:sz w:val="28"/>
          <w:szCs w:val="28"/>
          <w:lang w:val="el-GR"/>
        </w:rPr>
        <w:t xml:space="preserve">» του πρωτόδικου Δικαστηρίου. </w:t>
      </w:r>
      <w:r w:rsidR="00115017">
        <w:rPr>
          <w:rFonts w:ascii="Bookman Old Style" w:hAnsi="Bookman Old Style"/>
          <w:sz w:val="28"/>
          <w:szCs w:val="28"/>
          <w:lang w:val="el-GR"/>
        </w:rPr>
        <w:t>Σε αυτόν περιλαμβάν</w:t>
      </w:r>
      <w:r w:rsidR="007E79FD">
        <w:rPr>
          <w:rFonts w:ascii="Bookman Old Style" w:hAnsi="Bookman Old Style"/>
          <w:sz w:val="28"/>
          <w:szCs w:val="28"/>
          <w:lang w:val="el-GR"/>
        </w:rPr>
        <w:t xml:space="preserve">ονται ζητήματα τα οποία αποτέλεσαν επίσης αντικείμενο των λόγων έφεσης οι οποίοι έχουν ήδη εξεταστεί και κριθεί αβάσιμοι. </w:t>
      </w:r>
    </w:p>
    <w:p w14:paraId="6A587BA0" w14:textId="55BBE67C" w:rsidR="0010407F" w:rsidRDefault="00115017" w:rsidP="008F12AD">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Στον ίδιο λόγο γίνεται εκτενής αναφορά στο ότι το πρωτόδικο Δικαστήριο λανθασμένα απέρριψε τη μαρτυρία του Εφεσείοντα πως </w:t>
      </w:r>
      <w:r>
        <w:rPr>
          <w:rFonts w:ascii="Bookman Old Style" w:hAnsi="Bookman Old Style"/>
          <w:sz w:val="28"/>
          <w:szCs w:val="28"/>
          <w:lang w:val="el-GR"/>
        </w:rPr>
        <w:lastRenderedPageBreak/>
        <w:t xml:space="preserve">δεν έλαβε τις καταστάσεις λογαριασμού και τις επιστολές που κατ’  ισχυρισμό αποστέλλονταν από την Εφεσίβλητη καθότι αποστέλλονταν σε λανθασμένη διεύθυνση. </w:t>
      </w:r>
      <w:r w:rsidR="00220754">
        <w:rPr>
          <w:rFonts w:ascii="Bookman Old Style" w:hAnsi="Bookman Old Style"/>
          <w:sz w:val="28"/>
          <w:szCs w:val="28"/>
          <w:lang w:val="el-GR"/>
        </w:rPr>
        <w:t>Το πρωτόδικο Δικαστήριο εξέτασε τον σχετικό ισχυρισμό του Εφεσείοντα στο πλαίσιο της αξιολόγησης του. Ήταν ορθή η διαπίστωση του πως ο ισχυρισμός του Εφεσείοντα ότι είχε δώσει διαφορετική διεύθυνση διαμονής και διαφορετική διεύθυνση αλληλογραφίας αναιρείται από το περιεχόμενο της επίδικης συμφωνίας, στ</w:t>
      </w:r>
      <w:r w:rsidR="0010407F">
        <w:rPr>
          <w:rFonts w:ascii="Bookman Old Style" w:hAnsi="Bookman Old Style"/>
          <w:sz w:val="28"/>
          <w:szCs w:val="28"/>
          <w:lang w:val="el-GR"/>
        </w:rPr>
        <w:t>ην</w:t>
      </w:r>
      <w:r w:rsidR="00220754">
        <w:rPr>
          <w:rFonts w:ascii="Bookman Old Style" w:hAnsi="Bookman Old Style"/>
          <w:sz w:val="28"/>
          <w:szCs w:val="28"/>
          <w:lang w:val="el-GR"/>
        </w:rPr>
        <w:t xml:space="preserve"> οποία καταγράφεται μόνο μια διεύθυνση και είναι αυτή στην οποία </w:t>
      </w:r>
      <w:proofErr w:type="spellStart"/>
      <w:r w:rsidR="00220754">
        <w:rPr>
          <w:rFonts w:ascii="Bookman Old Style" w:hAnsi="Bookman Old Style"/>
          <w:sz w:val="28"/>
          <w:szCs w:val="28"/>
          <w:lang w:val="el-GR"/>
        </w:rPr>
        <w:t>στάληκαν</w:t>
      </w:r>
      <w:proofErr w:type="spellEnd"/>
      <w:r w:rsidR="00220754">
        <w:rPr>
          <w:rFonts w:ascii="Bookman Old Style" w:hAnsi="Bookman Old Style"/>
          <w:sz w:val="28"/>
          <w:szCs w:val="28"/>
          <w:lang w:val="el-GR"/>
        </w:rPr>
        <w:t xml:space="preserve"> όλα τα προαναφερόμενα έγγραφα. </w:t>
      </w:r>
      <w:r w:rsidR="0010407F">
        <w:rPr>
          <w:rFonts w:ascii="Bookman Old Style" w:hAnsi="Bookman Old Style"/>
          <w:sz w:val="28"/>
          <w:szCs w:val="28"/>
          <w:lang w:val="el-GR"/>
        </w:rPr>
        <w:t xml:space="preserve">Σημειώνουμε ότι η συμφωνία περιείχε όρους, σύμφωνα με τους οποίους, οι καταστάσεις λογαριασμού και όλη η αλληλογραφία θα αποστέλλεται στη δηλωθείσα διεύθυνση του Εφεσείοντα και, όπως εύστοχα παρατήρησε το πρωτόδικο Δικαστήριο, ο ίδιος ο Εφεσείων δέχθηκε ότι δεν έδωσε άλλη διεύθυνση. </w:t>
      </w:r>
      <w:r w:rsidR="009840E2">
        <w:rPr>
          <w:rFonts w:ascii="Bookman Old Style" w:hAnsi="Bookman Old Style"/>
          <w:sz w:val="28"/>
          <w:szCs w:val="28"/>
          <w:lang w:val="el-GR"/>
        </w:rPr>
        <w:t>Το πρωτόδικο Δικαστήριο ορθά στηρίχθηκε στη συμφωνία καθότι αυτή καθόριζε τις υποχρεώσεις της κάθε πλευράς και όχι στην αίτηση, στην οποία πράγματι αναγράφεται και διεύθυνση αλληλογραφίας, καθότι αυτή δεν αποτελεί τη δεσμευτική συμφωνία μεταξύ των μερών</w:t>
      </w:r>
      <w:r w:rsidR="005D1FB5">
        <w:rPr>
          <w:rFonts w:ascii="Bookman Old Style" w:hAnsi="Bookman Old Style"/>
          <w:sz w:val="28"/>
          <w:szCs w:val="28"/>
          <w:lang w:val="el-GR"/>
        </w:rPr>
        <w:t xml:space="preserve"> και, όπως σημείωσε το πρωτόδικο Δικαστήριο, η αίτηση δεν κατέστη μέρος της συμφωνίας</w:t>
      </w:r>
      <w:r w:rsidR="009840E2">
        <w:rPr>
          <w:rFonts w:ascii="Bookman Old Style" w:hAnsi="Bookman Old Style"/>
          <w:sz w:val="28"/>
          <w:szCs w:val="28"/>
          <w:lang w:val="el-GR"/>
        </w:rPr>
        <w:t xml:space="preserve">. </w:t>
      </w:r>
      <w:r w:rsidR="0066006E">
        <w:rPr>
          <w:rFonts w:ascii="Bookman Old Style" w:hAnsi="Bookman Old Style"/>
          <w:sz w:val="28"/>
          <w:szCs w:val="28"/>
          <w:lang w:val="el-GR"/>
        </w:rPr>
        <w:t xml:space="preserve">Εύλογη ήταν και η παρατήρηση του πρωτόδικου Δικαστηρίου ότι από τη στιγμή που ο Εφεσείων είχε διαβάσει και </w:t>
      </w:r>
      <w:r w:rsidR="0066006E">
        <w:rPr>
          <w:rFonts w:ascii="Bookman Old Style" w:hAnsi="Bookman Old Style"/>
          <w:sz w:val="28"/>
          <w:szCs w:val="28"/>
          <w:lang w:val="el-GR"/>
        </w:rPr>
        <w:lastRenderedPageBreak/>
        <w:t>αποδεχθεί τους όρους της συμφωνίας πριν την υπογράψει, δεν δικαιούτο να εγείρει αυτό το ζήτημα μεταγενέστερα.</w:t>
      </w:r>
    </w:p>
    <w:p w14:paraId="3D8FC9F9" w14:textId="339AAA9D" w:rsidR="009840E2" w:rsidRDefault="00B976EE"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Μάλιστα, το πρωτόδικο Δικαστήριο παρέπεμψε και στο έγγραφο ενεχυρίασης μετοχών</w:t>
      </w:r>
      <w:r w:rsidR="00DD0004">
        <w:rPr>
          <w:rFonts w:ascii="Bookman Old Style" w:hAnsi="Bookman Old Style"/>
          <w:sz w:val="28"/>
          <w:szCs w:val="28"/>
          <w:lang w:val="el-GR"/>
        </w:rPr>
        <w:t xml:space="preserve"> το οποίο υπέγραψε ο Εφεσείων προς όφελος της Εφεσίβλητης</w:t>
      </w:r>
      <w:r>
        <w:rPr>
          <w:rFonts w:ascii="Bookman Old Style" w:hAnsi="Bookman Old Style"/>
          <w:sz w:val="28"/>
          <w:szCs w:val="28"/>
          <w:lang w:val="el-GR"/>
        </w:rPr>
        <w:t xml:space="preserve">, στο οποίο και πάλι </w:t>
      </w:r>
      <w:r w:rsidR="00B24368">
        <w:rPr>
          <w:rFonts w:ascii="Bookman Old Style" w:hAnsi="Bookman Old Style"/>
          <w:sz w:val="28"/>
          <w:szCs w:val="28"/>
          <w:lang w:val="el-GR"/>
        </w:rPr>
        <w:t xml:space="preserve">υπήρχε </w:t>
      </w:r>
      <w:r>
        <w:rPr>
          <w:rFonts w:ascii="Bookman Old Style" w:hAnsi="Bookman Old Style"/>
          <w:sz w:val="28"/>
          <w:szCs w:val="28"/>
          <w:lang w:val="el-GR"/>
        </w:rPr>
        <w:t xml:space="preserve">όρος για την αποστολή οποιασδήποτε ειδοποίησης από την Εφεσίβλητη στην εκεί δηλωθείσα ίδια διεύθυνση. </w:t>
      </w:r>
    </w:p>
    <w:p w14:paraId="280900E9" w14:textId="7BAE4974" w:rsidR="007C0211" w:rsidRDefault="007C0211" w:rsidP="008F12AD">
      <w:pPr>
        <w:spacing w:before="240" w:line="480" w:lineRule="auto"/>
        <w:ind w:firstLine="567"/>
        <w:jc w:val="both"/>
        <w:rPr>
          <w:rFonts w:ascii="Bookman Old Style" w:hAnsi="Bookman Old Style" w:cs="Arial"/>
          <w:sz w:val="28"/>
          <w:szCs w:val="28"/>
          <w:lang w:val="el-GR"/>
        </w:rPr>
      </w:pPr>
      <w:r>
        <w:rPr>
          <w:rFonts w:ascii="Bookman Old Style" w:hAnsi="Bookman Old Style"/>
          <w:sz w:val="28"/>
          <w:szCs w:val="28"/>
          <w:lang w:val="el-GR"/>
        </w:rPr>
        <w:t xml:space="preserve">Στον ίδιο λόγο αποδίδεται στο πρωτόδικο Δικαστήριο ότι λανθασμένα </w:t>
      </w:r>
      <w:proofErr w:type="spellStart"/>
      <w:r>
        <w:rPr>
          <w:rFonts w:ascii="Bookman Old Style" w:hAnsi="Bookman Old Style"/>
          <w:sz w:val="28"/>
          <w:szCs w:val="28"/>
          <w:lang w:val="el-GR"/>
        </w:rPr>
        <w:t>απεδέχθη</w:t>
      </w:r>
      <w:proofErr w:type="spellEnd"/>
      <w:r>
        <w:rPr>
          <w:rFonts w:ascii="Bookman Old Style" w:hAnsi="Bookman Old Style"/>
          <w:sz w:val="28"/>
          <w:szCs w:val="28"/>
          <w:lang w:val="el-GR"/>
        </w:rPr>
        <w:t xml:space="preserve"> </w:t>
      </w:r>
      <w:r w:rsidR="00D96FB2">
        <w:rPr>
          <w:rFonts w:ascii="Bookman Old Style" w:hAnsi="Bookman Old Style"/>
          <w:sz w:val="28"/>
          <w:szCs w:val="28"/>
          <w:lang w:val="el-GR"/>
        </w:rPr>
        <w:t xml:space="preserve">τις καταστάσεις λογαριασμού και το ύψος του επίδικου χρέους. </w:t>
      </w:r>
      <w:r w:rsidR="00E57768">
        <w:rPr>
          <w:rFonts w:ascii="Bookman Old Style" w:hAnsi="Bookman Old Style"/>
          <w:sz w:val="28"/>
          <w:szCs w:val="28"/>
          <w:lang w:val="el-GR"/>
        </w:rPr>
        <w:t xml:space="preserve">Το πρωτόδικο Δικαστήριο δεν εφάρμοσε λανθασμένα τις πρόνοιες του </w:t>
      </w:r>
      <w:r w:rsidR="00E57768" w:rsidRPr="00E57768">
        <w:rPr>
          <w:rFonts w:ascii="Bookman Old Style" w:hAnsi="Bookman Old Style"/>
          <w:b/>
          <w:bCs/>
          <w:i/>
          <w:iCs/>
          <w:sz w:val="28"/>
          <w:szCs w:val="28"/>
          <w:lang w:val="el-GR"/>
        </w:rPr>
        <w:t xml:space="preserve">άρθρου 22 </w:t>
      </w:r>
      <w:r w:rsidR="00E57768" w:rsidRPr="000D7831">
        <w:rPr>
          <w:rFonts w:ascii="Bookman Old Style" w:hAnsi="Bookman Old Style"/>
          <w:sz w:val="28"/>
          <w:szCs w:val="28"/>
          <w:lang w:val="el-GR"/>
        </w:rPr>
        <w:t>του</w:t>
      </w:r>
      <w:r w:rsidR="00E57768" w:rsidRPr="00E57768">
        <w:rPr>
          <w:rFonts w:ascii="Bookman Old Style" w:hAnsi="Bookman Old Style"/>
          <w:b/>
          <w:bCs/>
          <w:i/>
          <w:iCs/>
          <w:sz w:val="28"/>
          <w:szCs w:val="28"/>
          <w:lang w:val="el-GR"/>
        </w:rPr>
        <w:t xml:space="preserve"> περί Αποδείξεως Νόμου, Κεφ. 9</w:t>
      </w:r>
      <w:r w:rsidR="00E57768">
        <w:rPr>
          <w:rFonts w:ascii="Bookman Old Style" w:hAnsi="Bookman Old Style"/>
          <w:sz w:val="28"/>
          <w:szCs w:val="28"/>
          <w:lang w:val="el-GR"/>
        </w:rPr>
        <w:t xml:space="preserve">, </w:t>
      </w:r>
      <w:r w:rsidR="000554BD">
        <w:rPr>
          <w:rFonts w:ascii="Bookman Old Style" w:hAnsi="Bookman Old Style"/>
          <w:sz w:val="28"/>
          <w:szCs w:val="28"/>
          <w:lang w:val="el-GR"/>
        </w:rPr>
        <w:t>για να κρίνει αποδεκτές τις εν λόγω καταστάσεις</w:t>
      </w:r>
      <w:r w:rsidR="00F2644A">
        <w:rPr>
          <w:rFonts w:ascii="Bookman Old Style" w:hAnsi="Bookman Old Style"/>
          <w:sz w:val="28"/>
          <w:szCs w:val="28"/>
          <w:lang w:val="el-GR"/>
        </w:rPr>
        <w:t xml:space="preserve"> που κατέθεσαν οι ΜΕ1 και ΜΕ2</w:t>
      </w:r>
      <w:r w:rsidR="000554BD">
        <w:rPr>
          <w:rFonts w:ascii="Bookman Old Style" w:hAnsi="Bookman Old Style"/>
          <w:sz w:val="28"/>
          <w:szCs w:val="28"/>
          <w:lang w:val="el-GR"/>
        </w:rPr>
        <w:t xml:space="preserve">. </w:t>
      </w:r>
      <w:r w:rsidR="00F2644A">
        <w:rPr>
          <w:rFonts w:ascii="Bookman Old Style" w:hAnsi="Bookman Old Style"/>
          <w:sz w:val="28"/>
          <w:szCs w:val="28"/>
          <w:lang w:val="el-GR"/>
        </w:rPr>
        <w:t xml:space="preserve">Ήταν ορθή η διαπίστωση του πρωτόδικου Δικαστηρίου ότι το περιεχόμενο των καταστάσεων δεν αμφισβητήθηκε αυτό καθ’  εαυτό κατά την </w:t>
      </w:r>
      <w:proofErr w:type="spellStart"/>
      <w:r w:rsidR="00F2644A">
        <w:rPr>
          <w:rFonts w:ascii="Bookman Old Style" w:hAnsi="Bookman Old Style"/>
          <w:sz w:val="28"/>
          <w:szCs w:val="28"/>
          <w:lang w:val="el-GR"/>
        </w:rPr>
        <w:t>αντεξέταση</w:t>
      </w:r>
      <w:proofErr w:type="spellEnd"/>
      <w:r w:rsidR="00F2644A">
        <w:rPr>
          <w:rFonts w:ascii="Bookman Old Style" w:hAnsi="Bookman Old Style"/>
          <w:sz w:val="28"/>
          <w:szCs w:val="28"/>
          <w:lang w:val="el-GR"/>
        </w:rPr>
        <w:t xml:space="preserve"> του ΜΕ2 ο οποίος υπέστη </w:t>
      </w:r>
      <w:proofErr w:type="spellStart"/>
      <w:r w:rsidR="00F2644A">
        <w:rPr>
          <w:rFonts w:ascii="Bookman Old Style" w:hAnsi="Bookman Old Style"/>
          <w:sz w:val="28"/>
          <w:szCs w:val="28"/>
          <w:lang w:val="el-GR"/>
        </w:rPr>
        <w:t>αντεξέταση</w:t>
      </w:r>
      <w:proofErr w:type="spellEnd"/>
      <w:r w:rsidR="00F2644A">
        <w:rPr>
          <w:rFonts w:ascii="Bookman Old Style" w:hAnsi="Bookman Old Style"/>
          <w:sz w:val="28"/>
          <w:szCs w:val="28"/>
          <w:lang w:val="el-GR"/>
        </w:rPr>
        <w:t xml:space="preserve">, </w:t>
      </w:r>
      <w:r w:rsidR="002C7C3F">
        <w:rPr>
          <w:rFonts w:ascii="Bookman Old Style" w:hAnsi="Bookman Old Style"/>
          <w:sz w:val="28"/>
          <w:szCs w:val="28"/>
          <w:lang w:val="el-GR"/>
        </w:rPr>
        <w:t xml:space="preserve">ούτε και ο Εφεσείων παρουσίασε μαρτυρία αντίθετη με το περιεχόμενο της. </w:t>
      </w:r>
      <w:r w:rsidR="00577A38">
        <w:rPr>
          <w:rFonts w:ascii="Bookman Old Style" w:hAnsi="Bookman Old Style"/>
          <w:sz w:val="28"/>
          <w:szCs w:val="28"/>
          <w:lang w:val="el-GR"/>
        </w:rPr>
        <w:t xml:space="preserve">Το πρωτόδικο Δικαστήριο παρέπεμψε στην υπόθεση </w:t>
      </w:r>
      <w:r w:rsidR="00577A38" w:rsidRPr="00577A38">
        <w:rPr>
          <w:rFonts w:ascii="Bookman Old Style" w:hAnsi="Bookman Old Style"/>
          <w:b/>
          <w:bCs/>
          <w:i/>
          <w:iCs/>
          <w:sz w:val="28"/>
          <w:szCs w:val="28"/>
          <w:lang w:val="el-GR"/>
        </w:rPr>
        <w:t xml:space="preserve">Εθνική Τράπεζα της Ελλάδος (Κύπρου) Λτδ </w:t>
      </w:r>
      <w:r w:rsidR="00577A38" w:rsidRPr="00577A38">
        <w:rPr>
          <w:rFonts w:ascii="Bookman Old Style" w:hAnsi="Bookman Old Style"/>
          <w:b/>
          <w:bCs/>
          <w:i/>
          <w:iCs/>
          <w:sz w:val="28"/>
          <w:szCs w:val="28"/>
        </w:rPr>
        <w:t>v</w:t>
      </w:r>
      <w:r w:rsidR="00577A38" w:rsidRPr="00577A38">
        <w:rPr>
          <w:rFonts w:ascii="Bookman Old Style" w:hAnsi="Bookman Old Style"/>
          <w:b/>
          <w:bCs/>
          <w:i/>
          <w:iCs/>
          <w:sz w:val="28"/>
          <w:szCs w:val="28"/>
          <w:lang w:val="el-GR"/>
        </w:rPr>
        <w:t>. Οικονόμου (2014) 1(Γ) Α.Α.Δ. 2287</w:t>
      </w:r>
      <w:r w:rsidR="00AC058D">
        <w:rPr>
          <w:rFonts w:ascii="Bookman Old Style" w:hAnsi="Bookman Old Style"/>
          <w:sz w:val="28"/>
          <w:szCs w:val="28"/>
          <w:lang w:val="el-GR"/>
        </w:rPr>
        <w:t xml:space="preserve">, στην οποία το Ανώτατο Δικαστήριο </w:t>
      </w:r>
      <w:r w:rsidR="00FE73C9">
        <w:rPr>
          <w:rFonts w:ascii="Bookman Old Style" w:hAnsi="Bookman Old Style"/>
          <w:sz w:val="28"/>
          <w:szCs w:val="28"/>
          <w:lang w:val="el-GR"/>
        </w:rPr>
        <w:t>επικύρωσε την παρόμοια προσέγγιση αποδοχής των καταστάσεων λογαριασμού από το εκεί πρωτόδικο Δικαστήριο</w:t>
      </w:r>
      <w:r w:rsidR="00577A38">
        <w:rPr>
          <w:rFonts w:ascii="Bookman Old Style" w:hAnsi="Bookman Old Style"/>
          <w:sz w:val="28"/>
          <w:szCs w:val="28"/>
          <w:lang w:val="el-GR"/>
        </w:rPr>
        <w:t xml:space="preserve">. </w:t>
      </w:r>
      <w:r w:rsidR="00214A34">
        <w:rPr>
          <w:rFonts w:ascii="Bookman Old Style" w:hAnsi="Bookman Old Style"/>
          <w:sz w:val="28"/>
          <w:szCs w:val="28"/>
          <w:lang w:val="el-GR"/>
        </w:rPr>
        <w:t xml:space="preserve">Όπως </w:t>
      </w:r>
      <w:r w:rsidR="00214A34">
        <w:rPr>
          <w:rFonts w:ascii="Bookman Old Style" w:hAnsi="Bookman Old Style"/>
          <w:sz w:val="28"/>
          <w:szCs w:val="28"/>
          <w:lang w:val="el-GR"/>
        </w:rPr>
        <w:lastRenderedPageBreak/>
        <w:t xml:space="preserve">αναφέρθηκε στην υπόθεση </w:t>
      </w:r>
      <w:r w:rsidR="00214A34" w:rsidRPr="00214A34">
        <w:rPr>
          <w:rFonts w:ascii="Bookman Old Style" w:hAnsi="Bookman Old Style"/>
          <w:b/>
          <w:bCs/>
          <w:i/>
          <w:iCs/>
          <w:sz w:val="28"/>
          <w:szCs w:val="28"/>
          <w:lang w:val="el-GR"/>
        </w:rPr>
        <w:t xml:space="preserve">Καραγιάννη </w:t>
      </w:r>
      <w:r w:rsidR="00214A34" w:rsidRPr="00214A34">
        <w:rPr>
          <w:rFonts w:ascii="Bookman Old Style" w:hAnsi="Bookman Old Style"/>
          <w:b/>
          <w:bCs/>
          <w:i/>
          <w:iCs/>
          <w:sz w:val="28"/>
          <w:szCs w:val="28"/>
        </w:rPr>
        <w:t>v</w:t>
      </w:r>
      <w:r w:rsidR="00214A34" w:rsidRPr="00214A34">
        <w:rPr>
          <w:rFonts w:ascii="Bookman Old Style" w:hAnsi="Bookman Old Style"/>
          <w:b/>
          <w:bCs/>
          <w:i/>
          <w:iCs/>
          <w:sz w:val="28"/>
          <w:szCs w:val="28"/>
          <w:lang w:val="el-GR"/>
        </w:rPr>
        <w:t xml:space="preserve">. Τράπεζας Κύπρου Δημόσιας Εταιρείας Λτδ, Πολ. Έφεση </w:t>
      </w:r>
      <w:proofErr w:type="spellStart"/>
      <w:r w:rsidR="00214A34" w:rsidRPr="00214A34">
        <w:rPr>
          <w:rFonts w:ascii="Bookman Old Style" w:hAnsi="Bookman Old Style"/>
          <w:b/>
          <w:bCs/>
          <w:i/>
          <w:iCs/>
          <w:sz w:val="28"/>
          <w:szCs w:val="28"/>
          <w:lang w:val="el-GR"/>
        </w:rPr>
        <w:t>Αρ</w:t>
      </w:r>
      <w:proofErr w:type="spellEnd"/>
      <w:r w:rsidR="00214A34" w:rsidRPr="00214A34">
        <w:rPr>
          <w:rFonts w:ascii="Bookman Old Style" w:hAnsi="Bookman Old Style"/>
          <w:b/>
          <w:bCs/>
          <w:i/>
          <w:iCs/>
          <w:sz w:val="28"/>
          <w:szCs w:val="28"/>
          <w:lang w:val="el-GR"/>
        </w:rPr>
        <w:t xml:space="preserve">. 70/14, </w:t>
      </w:r>
      <w:proofErr w:type="spellStart"/>
      <w:r w:rsidR="00214A34" w:rsidRPr="00214A34">
        <w:rPr>
          <w:rFonts w:ascii="Bookman Old Style" w:hAnsi="Bookman Old Style"/>
          <w:b/>
          <w:bCs/>
          <w:i/>
          <w:iCs/>
          <w:sz w:val="28"/>
          <w:szCs w:val="28"/>
          <w:lang w:val="el-GR"/>
        </w:rPr>
        <w:t>ημερ</w:t>
      </w:r>
      <w:proofErr w:type="spellEnd"/>
      <w:r w:rsidR="00214A34" w:rsidRPr="00214A34">
        <w:rPr>
          <w:rFonts w:ascii="Bookman Old Style" w:hAnsi="Bookman Old Style"/>
          <w:b/>
          <w:bCs/>
          <w:i/>
          <w:iCs/>
          <w:sz w:val="28"/>
          <w:szCs w:val="28"/>
          <w:lang w:val="el-GR"/>
        </w:rPr>
        <w:t>. 17.11.2021</w:t>
      </w:r>
      <w:r w:rsidR="00214A34">
        <w:rPr>
          <w:rFonts w:ascii="Bookman Old Style" w:hAnsi="Bookman Old Style"/>
          <w:sz w:val="28"/>
          <w:szCs w:val="28"/>
          <w:lang w:val="el-GR"/>
        </w:rPr>
        <w:t xml:space="preserve">, η παρουσίαση αναδομημένης κατάστασης λογαριασμού αποτελεί μια συνήθη πρακτική των Τραπεζών, ώστε να αφαιρούνται κάποιες χρεώσεις ή επιβολή επιτοκίων, προς ικανοποίηση του πελάτη και ενθάρρυνση για εξεύρεση συμβιβαστικής λύσης. Αυτή η θέση καταρρίπτει και την εισήγηση του Εφεσείοντα ότι η ετοιμασία αναδομημένων καταστάσεων είναι ένδειξη της ανεντιμότητας της Εφεσίβλητης η οποία, με </w:t>
      </w:r>
      <w:r w:rsidR="001B74CC" w:rsidRPr="00DE39F9">
        <w:rPr>
          <w:rFonts w:ascii="Bookman Old Style" w:hAnsi="Bookman Old Style"/>
          <w:sz w:val="28"/>
          <w:szCs w:val="28"/>
          <w:lang w:val="el-GR"/>
        </w:rPr>
        <w:t>πολύ προγενέστερη</w:t>
      </w:r>
      <w:r w:rsidR="001B74CC">
        <w:rPr>
          <w:rFonts w:ascii="Bookman Old Style" w:hAnsi="Bookman Old Style"/>
          <w:sz w:val="28"/>
          <w:szCs w:val="28"/>
          <w:lang w:val="el-GR"/>
        </w:rPr>
        <w:t xml:space="preserve"> </w:t>
      </w:r>
      <w:r w:rsidR="00214A34">
        <w:rPr>
          <w:rFonts w:ascii="Bookman Old Style" w:hAnsi="Bookman Old Style"/>
          <w:sz w:val="28"/>
          <w:szCs w:val="28"/>
          <w:lang w:val="el-GR"/>
        </w:rPr>
        <w:t xml:space="preserve">επιστολή της προς τον </w:t>
      </w:r>
      <w:proofErr w:type="spellStart"/>
      <w:r w:rsidR="00214A34">
        <w:rPr>
          <w:rFonts w:ascii="Bookman Old Style" w:hAnsi="Bookman Old Style"/>
          <w:sz w:val="28"/>
          <w:szCs w:val="28"/>
          <w:lang w:val="el-GR"/>
        </w:rPr>
        <w:t>Εφεσείοντα</w:t>
      </w:r>
      <w:proofErr w:type="spellEnd"/>
      <w:r w:rsidR="000D7831" w:rsidRPr="000D7831">
        <w:rPr>
          <w:rFonts w:ascii="Bookman Old Style" w:hAnsi="Bookman Old Style"/>
          <w:sz w:val="28"/>
          <w:szCs w:val="28"/>
          <w:lang w:val="el-GR"/>
        </w:rPr>
        <w:t xml:space="preserve"> </w:t>
      </w:r>
      <w:proofErr w:type="spellStart"/>
      <w:r w:rsidR="000D7831">
        <w:rPr>
          <w:rFonts w:ascii="Bookman Old Style" w:hAnsi="Bookman Old Style"/>
          <w:sz w:val="28"/>
          <w:szCs w:val="28"/>
          <w:lang w:val="el-GR"/>
        </w:rPr>
        <w:t>ημερ</w:t>
      </w:r>
      <w:proofErr w:type="spellEnd"/>
      <w:r w:rsidR="000D7831">
        <w:rPr>
          <w:rFonts w:ascii="Bookman Old Style" w:hAnsi="Bookman Old Style"/>
          <w:sz w:val="28"/>
          <w:szCs w:val="28"/>
          <w:lang w:val="el-GR"/>
        </w:rPr>
        <w:t>. 12.8.2003</w:t>
      </w:r>
      <w:r w:rsidR="00214A34">
        <w:rPr>
          <w:rFonts w:ascii="Bookman Old Style" w:hAnsi="Bookman Old Style"/>
          <w:sz w:val="28"/>
          <w:szCs w:val="28"/>
          <w:lang w:val="el-GR"/>
        </w:rPr>
        <w:t xml:space="preserve">, ζητούσε μεγαλύτερο ποσό. </w:t>
      </w:r>
      <w:r w:rsidR="00DA3BC0">
        <w:rPr>
          <w:rFonts w:ascii="Bookman Old Style" w:hAnsi="Bookman Old Style"/>
          <w:sz w:val="28"/>
          <w:szCs w:val="28"/>
          <w:lang w:val="el-GR"/>
        </w:rPr>
        <w:t xml:space="preserve">Σχετική επί του θέματος είναι και η υπόθεση </w:t>
      </w:r>
      <w:r w:rsidR="00DA3BC0" w:rsidRPr="00DA3BC0">
        <w:rPr>
          <w:rFonts w:ascii="Bookman Old Style" w:hAnsi="Bookman Old Style" w:cs="Arial"/>
          <w:b/>
          <w:bCs/>
          <w:i/>
          <w:iCs/>
          <w:sz w:val="28"/>
          <w:szCs w:val="28"/>
          <w:lang w:val="el-GR"/>
        </w:rPr>
        <w:t xml:space="preserve">Ιωαννίδης κ.ά. </w:t>
      </w:r>
      <w:r w:rsidR="00DA3BC0" w:rsidRPr="00DA3BC0">
        <w:rPr>
          <w:rFonts w:ascii="Bookman Old Style" w:hAnsi="Bookman Old Style" w:cs="Arial"/>
          <w:b/>
          <w:bCs/>
          <w:i/>
          <w:iCs/>
          <w:sz w:val="28"/>
          <w:szCs w:val="28"/>
        </w:rPr>
        <w:t>v</w:t>
      </w:r>
      <w:r w:rsidR="00DA3BC0" w:rsidRPr="00DA3BC0">
        <w:rPr>
          <w:rFonts w:ascii="Bookman Old Style" w:hAnsi="Bookman Old Style" w:cs="Arial"/>
          <w:b/>
          <w:bCs/>
          <w:i/>
          <w:iCs/>
          <w:sz w:val="28"/>
          <w:szCs w:val="28"/>
          <w:lang w:val="el-GR"/>
        </w:rPr>
        <w:t>. Εθνικής Τράπεζας της Ελλάδος (Κύπρου) Λτδ (2014) 1(Β) Α.Α.Δ. 1491</w:t>
      </w:r>
      <w:r w:rsidR="00DA3BC0">
        <w:rPr>
          <w:rFonts w:ascii="Bookman Old Style" w:hAnsi="Bookman Old Style" w:cs="Arial"/>
          <w:sz w:val="28"/>
          <w:szCs w:val="28"/>
          <w:lang w:val="el-GR"/>
        </w:rPr>
        <w:t>.</w:t>
      </w:r>
    </w:p>
    <w:p w14:paraId="7DD1637A" w14:textId="56E3A883" w:rsidR="00840D02" w:rsidRPr="002D4C92" w:rsidRDefault="00840D02" w:rsidP="008F12AD">
      <w:pPr>
        <w:spacing w:before="240" w:line="480" w:lineRule="auto"/>
        <w:ind w:firstLine="567"/>
        <w:jc w:val="both"/>
        <w:rPr>
          <w:rFonts w:ascii="Bookman Old Style" w:hAnsi="Bookman Old Style" w:cs="Arial"/>
          <w:sz w:val="28"/>
          <w:szCs w:val="28"/>
          <w:lang w:val="el-GR"/>
        </w:rPr>
      </w:pPr>
      <w:r>
        <w:rPr>
          <w:rFonts w:ascii="Bookman Old Style" w:hAnsi="Bookman Old Style" w:cs="Arial"/>
          <w:sz w:val="28"/>
          <w:szCs w:val="28"/>
          <w:lang w:val="el-GR"/>
        </w:rPr>
        <w:t xml:space="preserve">Τέλος, αποτελεί εισήγηση του Εφεσείοντα πως το πρωτόδικο Δικαστήριο λανθασμένα κατέληξε ότι αυτός δεν τερμάτισε τη συμφωνία. Το πρωτόδικο Δικαστήριο πράγματι ανέφερε πως </w:t>
      </w:r>
      <w:r w:rsidR="00B24368">
        <w:rPr>
          <w:rFonts w:ascii="Bookman Old Style" w:hAnsi="Bookman Old Style" w:cs="Arial"/>
          <w:sz w:val="28"/>
          <w:szCs w:val="28"/>
          <w:lang w:val="el-GR"/>
        </w:rPr>
        <w:t xml:space="preserve">συνήθως </w:t>
      </w:r>
      <w:r>
        <w:rPr>
          <w:rFonts w:ascii="Bookman Old Style" w:hAnsi="Bookman Old Style" w:cs="Arial"/>
          <w:sz w:val="28"/>
          <w:szCs w:val="28"/>
          <w:lang w:val="el-GR"/>
        </w:rPr>
        <w:t xml:space="preserve">σε περίπτωση εξαπάτησης ή ψευδών παραστάσεων, </w:t>
      </w:r>
      <w:r w:rsidR="004227A5">
        <w:rPr>
          <w:rFonts w:ascii="Bookman Old Style" w:hAnsi="Bookman Old Style" w:cs="Arial"/>
          <w:sz w:val="28"/>
          <w:szCs w:val="28"/>
          <w:lang w:val="el-GR"/>
        </w:rPr>
        <w:t>είτε η</w:t>
      </w:r>
      <w:r>
        <w:rPr>
          <w:rFonts w:ascii="Bookman Old Style" w:hAnsi="Bookman Old Style" w:cs="Arial"/>
          <w:sz w:val="28"/>
          <w:szCs w:val="28"/>
          <w:lang w:val="el-GR"/>
        </w:rPr>
        <w:t xml:space="preserve"> σύμβαση καταγγέλλεται </w:t>
      </w:r>
      <w:r w:rsidR="00B24368">
        <w:rPr>
          <w:rFonts w:ascii="Bookman Old Style" w:hAnsi="Bookman Old Style" w:cs="Arial"/>
          <w:sz w:val="28"/>
          <w:szCs w:val="28"/>
          <w:lang w:val="el-GR"/>
        </w:rPr>
        <w:t xml:space="preserve">και απαιτούνται αποζημιώσεις </w:t>
      </w:r>
      <w:r w:rsidR="004227A5">
        <w:rPr>
          <w:rFonts w:ascii="Bookman Old Style" w:hAnsi="Bookman Old Style" w:cs="Arial"/>
          <w:sz w:val="28"/>
          <w:szCs w:val="28"/>
          <w:lang w:val="el-GR"/>
        </w:rPr>
        <w:t>είτε</w:t>
      </w:r>
      <w:r>
        <w:rPr>
          <w:rFonts w:ascii="Bookman Old Style" w:hAnsi="Bookman Old Style" w:cs="Arial"/>
          <w:sz w:val="28"/>
          <w:szCs w:val="28"/>
          <w:lang w:val="el-GR"/>
        </w:rPr>
        <w:t xml:space="preserve"> ζητείται η εκτέλεση της και</w:t>
      </w:r>
      <w:r w:rsidR="007136A3">
        <w:rPr>
          <w:rFonts w:ascii="Bookman Old Style" w:hAnsi="Bookman Old Style" w:cs="Arial"/>
          <w:sz w:val="28"/>
          <w:szCs w:val="28"/>
          <w:lang w:val="el-GR"/>
        </w:rPr>
        <w:t xml:space="preserve"> </w:t>
      </w:r>
      <w:r>
        <w:rPr>
          <w:rFonts w:ascii="Bookman Old Style" w:hAnsi="Bookman Old Style" w:cs="Arial"/>
          <w:sz w:val="28"/>
          <w:szCs w:val="28"/>
          <w:lang w:val="el-GR"/>
        </w:rPr>
        <w:t>απαιτούνται αποζημιώσεις</w:t>
      </w:r>
      <w:r w:rsidR="007136A3">
        <w:rPr>
          <w:rFonts w:ascii="Bookman Old Style" w:hAnsi="Bookman Old Style" w:cs="Arial"/>
          <w:sz w:val="28"/>
          <w:szCs w:val="28"/>
          <w:lang w:val="el-GR"/>
        </w:rPr>
        <w:t xml:space="preserve">, σημειώνοντας απλώς ότι </w:t>
      </w:r>
      <w:r w:rsidR="00D820C0">
        <w:rPr>
          <w:rFonts w:ascii="Bookman Old Style" w:hAnsi="Bookman Old Style" w:cs="Arial"/>
          <w:sz w:val="28"/>
          <w:szCs w:val="28"/>
          <w:lang w:val="el-GR"/>
        </w:rPr>
        <w:t xml:space="preserve">στην υπό κρίση υπόθεση </w:t>
      </w:r>
      <w:r w:rsidR="007136A3">
        <w:rPr>
          <w:rFonts w:ascii="Bookman Old Style" w:hAnsi="Bookman Old Style" w:cs="Arial"/>
          <w:sz w:val="28"/>
          <w:szCs w:val="28"/>
          <w:lang w:val="el-GR"/>
        </w:rPr>
        <w:t>ο Εφεσείων στην ανταπαίτηση του ζ</w:t>
      </w:r>
      <w:r w:rsidR="00D820C0">
        <w:rPr>
          <w:rFonts w:ascii="Bookman Old Style" w:hAnsi="Bookman Old Style" w:cs="Arial"/>
          <w:sz w:val="28"/>
          <w:szCs w:val="28"/>
          <w:lang w:val="el-GR"/>
        </w:rPr>
        <w:t>ήτησε</w:t>
      </w:r>
      <w:r w:rsidR="007136A3">
        <w:rPr>
          <w:rFonts w:ascii="Bookman Old Style" w:hAnsi="Bookman Old Style" w:cs="Arial"/>
          <w:sz w:val="28"/>
          <w:szCs w:val="28"/>
          <w:lang w:val="el-GR"/>
        </w:rPr>
        <w:t xml:space="preserve"> την εκτέλεση της συμφωνίας χωρίς ο ίδιος να </w:t>
      </w:r>
      <w:r w:rsidR="00406505">
        <w:rPr>
          <w:rFonts w:ascii="Bookman Old Style" w:hAnsi="Bookman Old Style" w:cs="Arial"/>
          <w:sz w:val="28"/>
          <w:szCs w:val="28"/>
          <w:lang w:val="el-GR"/>
        </w:rPr>
        <w:t>εί</w:t>
      </w:r>
      <w:r w:rsidR="00B70ECD">
        <w:rPr>
          <w:rFonts w:ascii="Bookman Old Style" w:hAnsi="Bookman Old Style" w:cs="Arial"/>
          <w:sz w:val="28"/>
          <w:szCs w:val="28"/>
          <w:lang w:val="el-GR"/>
        </w:rPr>
        <w:t xml:space="preserve">χε </w:t>
      </w:r>
      <w:r w:rsidR="007136A3">
        <w:rPr>
          <w:rFonts w:ascii="Bookman Old Style" w:hAnsi="Bookman Old Style" w:cs="Arial"/>
          <w:sz w:val="28"/>
          <w:szCs w:val="28"/>
          <w:lang w:val="el-GR"/>
        </w:rPr>
        <w:t xml:space="preserve">προβεί στον τερματισμό </w:t>
      </w:r>
      <w:r w:rsidR="007136A3">
        <w:rPr>
          <w:rFonts w:ascii="Bookman Old Style" w:hAnsi="Bookman Old Style" w:cs="Arial"/>
          <w:sz w:val="28"/>
          <w:szCs w:val="28"/>
          <w:lang w:val="el-GR"/>
        </w:rPr>
        <w:lastRenderedPageBreak/>
        <w:t xml:space="preserve">της. Επομένως, το πρωτόδικο Δικαστήριο σχολίασε τη συμπεριφορά του Εφεσείοντα και δεν </w:t>
      </w:r>
      <w:r w:rsidR="002D4C92">
        <w:rPr>
          <w:rFonts w:ascii="Bookman Old Style" w:hAnsi="Bookman Old Style" w:cs="Arial"/>
          <w:sz w:val="28"/>
          <w:szCs w:val="28"/>
          <w:lang w:val="el-GR"/>
        </w:rPr>
        <w:t xml:space="preserve">συνέδεσε ή έκρινε τη νομιμότητα ή μη της συμφωνίας σε αυτή τη βάση. </w:t>
      </w:r>
    </w:p>
    <w:p w14:paraId="4E915498" w14:textId="0376EAFD" w:rsidR="00742D4E" w:rsidRDefault="00234E35" w:rsidP="008F12AD">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Επομένως και ο έκτος λόγος έφεσης κρίνεται αβάσιμος και απορρίπτεται. </w:t>
      </w:r>
    </w:p>
    <w:p w14:paraId="17121FFA" w14:textId="6AA08503" w:rsidR="00234E35" w:rsidRDefault="004902C5" w:rsidP="00F45B8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τον πρώτο λόγο έφεσης ο Εφεσείων προβάλλει ότι το πρωτόδικο Δικαστήριο εσφαλμένα κατέληξε πως οι εγκύκλιοι της Κεντρικής Τράπεζας δεν είναι νόμος για σκοπούς του </w:t>
      </w:r>
      <w:r w:rsidRPr="00C7632B">
        <w:rPr>
          <w:rFonts w:ascii="Bookman Old Style" w:hAnsi="Bookman Old Style"/>
          <w:b/>
          <w:bCs/>
          <w:i/>
          <w:iCs/>
          <w:sz w:val="28"/>
          <w:szCs w:val="28"/>
          <w:lang w:val="el-GR"/>
        </w:rPr>
        <w:t xml:space="preserve">άρθρου 23 </w:t>
      </w:r>
      <w:r w:rsidRPr="00C7632B">
        <w:rPr>
          <w:rFonts w:ascii="Bookman Old Style" w:hAnsi="Bookman Old Style"/>
          <w:sz w:val="28"/>
          <w:szCs w:val="28"/>
          <w:lang w:val="el-GR"/>
        </w:rPr>
        <w:t xml:space="preserve">του </w:t>
      </w:r>
      <w:r w:rsidRPr="00C7632B">
        <w:rPr>
          <w:rFonts w:ascii="Bookman Old Style" w:hAnsi="Bookman Old Style"/>
          <w:b/>
          <w:bCs/>
          <w:i/>
          <w:iCs/>
          <w:sz w:val="28"/>
          <w:szCs w:val="28"/>
          <w:lang w:val="el-GR"/>
        </w:rPr>
        <w:t>περί Συμβάσεων Νόμου, Κεφ. 149</w:t>
      </w:r>
      <w:r>
        <w:rPr>
          <w:rFonts w:ascii="Bookman Old Style" w:hAnsi="Bookman Old Style"/>
          <w:sz w:val="28"/>
          <w:szCs w:val="28"/>
          <w:lang w:val="el-GR"/>
        </w:rPr>
        <w:t xml:space="preserve">. </w:t>
      </w:r>
    </w:p>
    <w:p w14:paraId="4F6F2642" w14:textId="56C121ED" w:rsidR="00B04A24" w:rsidRDefault="00B04A24" w:rsidP="00F45B8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ζήτημα </w:t>
      </w:r>
      <w:r w:rsidR="00C36E64">
        <w:rPr>
          <w:rFonts w:ascii="Bookman Old Style" w:hAnsi="Bookman Old Style"/>
          <w:sz w:val="28"/>
          <w:szCs w:val="28"/>
          <w:lang w:val="el-GR"/>
        </w:rPr>
        <w:t xml:space="preserve">εξετάστηκε ενδελεχώς σε όλη του την έκταση από το πρωτόδικο Δικαστήριο με παραπομπή σε νομολογία. Το πρωτόδικο Δικαστήριο ορθά καθοδηγήθηκε από τις υποθέσεις </w:t>
      </w:r>
      <w:r w:rsidR="00C36E64" w:rsidRPr="00C36E64">
        <w:rPr>
          <w:rFonts w:ascii="Bookman Old Style" w:hAnsi="Bookman Old Style"/>
          <w:b/>
          <w:bCs/>
          <w:i/>
          <w:iCs/>
          <w:sz w:val="28"/>
          <w:szCs w:val="28"/>
          <w:lang w:val="el-GR"/>
        </w:rPr>
        <w:t xml:space="preserve">Τρύφωνος κ.ά. </w:t>
      </w:r>
      <w:r w:rsidR="00C36E64" w:rsidRPr="00C36E64">
        <w:rPr>
          <w:rFonts w:ascii="Bookman Old Style" w:hAnsi="Bookman Old Style"/>
          <w:b/>
          <w:bCs/>
          <w:i/>
          <w:iCs/>
          <w:sz w:val="28"/>
          <w:szCs w:val="28"/>
        </w:rPr>
        <w:t>v</w:t>
      </w:r>
      <w:r w:rsidR="00C36E64" w:rsidRPr="00C36E64">
        <w:rPr>
          <w:rFonts w:ascii="Bookman Old Style" w:hAnsi="Bookman Old Style"/>
          <w:b/>
          <w:bCs/>
          <w:i/>
          <w:iCs/>
          <w:sz w:val="28"/>
          <w:szCs w:val="28"/>
          <w:lang w:val="el-GR"/>
        </w:rPr>
        <w:t>.</w:t>
      </w:r>
      <w:r w:rsidR="009A6C14">
        <w:rPr>
          <w:rFonts w:ascii="Bookman Old Style" w:hAnsi="Bookman Old Style"/>
          <w:b/>
          <w:bCs/>
          <w:i/>
          <w:iCs/>
          <w:sz w:val="28"/>
          <w:szCs w:val="28"/>
          <w:lang w:val="el-GR"/>
        </w:rPr>
        <w:t xml:space="preserve"> </w:t>
      </w:r>
      <w:r w:rsidR="00C36E64" w:rsidRPr="00C36E64">
        <w:rPr>
          <w:rFonts w:ascii="Bookman Old Style" w:hAnsi="Bookman Old Style"/>
          <w:b/>
          <w:bCs/>
          <w:i/>
          <w:iCs/>
          <w:sz w:val="28"/>
          <w:szCs w:val="28"/>
          <w:lang w:val="el-GR"/>
        </w:rPr>
        <w:t>Μινέρβα Ασφαλιστική Εταιρεία Λτδ (2006) 1(Α) Α.Α.Δ. 200</w:t>
      </w:r>
      <w:r w:rsidR="00C36E64">
        <w:rPr>
          <w:rFonts w:ascii="Bookman Old Style" w:hAnsi="Bookman Old Style"/>
          <w:sz w:val="28"/>
          <w:szCs w:val="28"/>
          <w:lang w:val="el-GR"/>
        </w:rPr>
        <w:t xml:space="preserve"> και </w:t>
      </w:r>
      <w:r w:rsidR="00C36E64" w:rsidRPr="00C36E64">
        <w:rPr>
          <w:rFonts w:ascii="Bookman Old Style" w:hAnsi="Bookman Old Style"/>
          <w:b/>
          <w:bCs/>
          <w:i/>
          <w:iCs/>
          <w:sz w:val="28"/>
          <w:szCs w:val="28"/>
          <w:lang w:val="el-GR"/>
        </w:rPr>
        <w:t xml:space="preserve">Διαχειριστικό Συμβούλιο Εμπορικής Σχολής </w:t>
      </w:r>
      <w:proofErr w:type="spellStart"/>
      <w:r w:rsidR="00C36E64" w:rsidRPr="00C36E64">
        <w:rPr>
          <w:rFonts w:ascii="Bookman Old Style" w:hAnsi="Bookman Old Style"/>
          <w:b/>
          <w:bCs/>
          <w:i/>
          <w:iCs/>
          <w:sz w:val="28"/>
          <w:szCs w:val="28"/>
          <w:lang w:val="el-GR"/>
        </w:rPr>
        <w:t>Μιτσή</w:t>
      </w:r>
      <w:proofErr w:type="spellEnd"/>
      <w:r w:rsidR="00C36E64" w:rsidRPr="00C36E64">
        <w:rPr>
          <w:rFonts w:ascii="Bookman Old Style" w:hAnsi="Bookman Old Style"/>
          <w:b/>
          <w:bCs/>
          <w:i/>
          <w:iCs/>
          <w:sz w:val="28"/>
          <w:szCs w:val="28"/>
          <w:lang w:val="el-GR"/>
        </w:rPr>
        <w:t xml:space="preserve"> </w:t>
      </w:r>
      <w:proofErr w:type="spellStart"/>
      <w:r w:rsidR="00C36E64" w:rsidRPr="00C36E64">
        <w:rPr>
          <w:rFonts w:ascii="Bookman Old Style" w:hAnsi="Bookman Old Style"/>
          <w:b/>
          <w:bCs/>
          <w:i/>
          <w:iCs/>
          <w:sz w:val="28"/>
          <w:szCs w:val="28"/>
          <w:lang w:val="el-GR"/>
        </w:rPr>
        <w:t>Λεμύθου</w:t>
      </w:r>
      <w:proofErr w:type="spellEnd"/>
      <w:r w:rsidR="00C36E64" w:rsidRPr="00C36E64">
        <w:rPr>
          <w:rFonts w:ascii="Bookman Old Style" w:hAnsi="Bookman Old Style"/>
          <w:b/>
          <w:bCs/>
          <w:i/>
          <w:iCs/>
          <w:sz w:val="28"/>
          <w:szCs w:val="28"/>
          <w:lang w:val="el-GR"/>
        </w:rPr>
        <w:t xml:space="preserve"> </w:t>
      </w:r>
      <w:r w:rsidR="00C36E64" w:rsidRPr="00C36E64">
        <w:rPr>
          <w:rFonts w:ascii="Bookman Old Style" w:hAnsi="Bookman Old Style"/>
          <w:b/>
          <w:bCs/>
          <w:i/>
          <w:iCs/>
          <w:sz w:val="28"/>
          <w:szCs w:val="28"/>
        </w:rPr>
        <w:t>v</w:t>
      </w:r>
      <w:r w:rsidR="00C36E64" w:rsidRPr="00C36E64">
        <w:rPr>
          <w:rFonts w:ascii="Bookman Old Style" w:hAnsi="Bookman Old Style"/>
          <w:b/>
          <w:bCs/>
          <w:i/>
          <w:iCs/>
          <w:sz w:val="28"/>
          <w:szCs w:val="28"/>
          <w:lang w:val="el-GR"/>
        </w:rPr>
        <w:t>. Πετράκη (1998) 1(Β) Α.Α.Δ. 941</w:t>
      </w:r>
      <w:r w:rsidR="00C36E64">
        <w:rPr>
          <w:rFonts w:ascii="Bookman Old Style" w:hAnsi="Bookman Old Style"/>
          <w:sz w:val="28"/>
          <w:szCs w:val="28"/>
          <w:lang w:val="el-GR"/>
        </w:rPr>
        <w:t xml:space="preserve"> ως προς την ερμηνεία της αρχής της δημόσιας πολιτικής, εφόσον υπήρχε ισχυρισμός από τον Εφεσείοντα ότι η επίδικη συμφωνία αντιστρατευόταν τη δημόσια πολιτική </w:t>
      </w:r>
      <w:r w:rsidR="009A6C14">
        <w:rPr>
          <w:rFonts w:ascii="Bookman Old Style" w:hAnsi="Bookman Old Style"/>
          <w:sz w:val="28"/>
          <w:szCs w:val="28"/>
          <w:lang w:val="el-GR"/>
        </w:rPr>
        <w:t>καθότι</w:t>
      </w:r>
      <w:r w:rsidR="00C36E64">
        <w:rPr>
          <w:rFonts w:ascii="Bookman Old Style" w:hAnsi="Bookman Old Style"/>
          <w:sz w:val="28"/>
          <w:szCs w:val="28"/>
          <w:lang w:val="el-GR"/>
        </w:rPr>
        <w:t xml:space="preserve"> η Εφεσίβλητη δεν εφάρμοσε τις εγκυκλίους της Κεντρικής Τράπεζας. Όπως προκύπτει από τις εν λόγω υποθέσεις, ήταν ορθή η προσέγγιση του πρωτόδικου Δικαστηρίου ότι </w:t>
      </w:r>
      <w:r w:rsidR="00336A15">
        <w:rPr>
          <w:rFonts w:ascii="Bookman Old Style" w:hAnsi="Bookman Old Style"/>
          <w:sz w:val="28"/>
          <w:szCs w:val="28"/>
          <w:lang w:val="el-GR"/>
        </w:rPr>
        <w:t xml:space="preserve">δεν καλείτο </w:t>
      </w:r>
      <w:r w:rsidR="00336A15">
        <w:rPr>
          <w:rFonts w:ascii="Bookman Old Style" w:hAnsi="Bookman Old Style"/>
          <w:sz w:val="28"/>
          <w:szCs w:val="28"/>
          <w:lang w:val="el-GR"/>
        </w:rPr>
        <w:lastRenderedPageBreak/>
        <w:t>«</w:t>
      </w:r>
      <w:r w:rsidR="00336A15" w:rsidRPr="00336A15">
        <w:rPr>
          <w:rFonts w:ascii="Bookman Old Style" w:hAnsi="Bookman Old Style"/>
          <w:i/>
          <w:iCs/>
          <w:sz w:val="28"/>
          <w:szCs w:val="28"/>
          <w:lang w:val="el-GR"/>
        </w:rPr>
        <w:t>να αναγνωρίσει ή να προεκτείνει κάτι το οποίο έθεσε ως μέρος της δημόσιας πολιτικής ο νομοθέτης, αλλά ένα κρατικό όργανο (Κεντρική Τράπεζα Κύπρου), οι εγκύκλιοι του οποίου δεν μπορούν να έχουν την άμεση ισχύ που έχει ένα νομοθέτημα</w:t>
      </w:r>
      <w:r w:rsidR="00336A15">
        <w:rPr>
          <w:rFonts w:ascii="Bookman Old Style" w:hAnsi="Bookman Old Style"/>
          <w:sz w:val="28"/>
          <w:szCs w:val="28"/>
          <w:lang w:val="el-GR"/>
        </w:rPr>
        <w:t xml:space="preserve">». </w:t>
      </w:r>
    </w:p>
    <w:p w14:paraId="7DE4090A" w14:textId="33FC9CC7" w:rsidR="00503998" w:rsidRDefault="00503998" w:rsidP="008F12AD">
      <w:pPr>
        <w:spacing w:line="480" w:lineRule="auto"/>
        <w:ind w:firstLine="567"/>
        <w:jc w:val="both"/>
        <w:rPr>
          <w:rFonts w:ascii="Bookman Old Style" w:hAnsi="Bookman Old Style"/>
          <w:color w:val="000000"/>
          <w:sz w:val="28"/>
          <w:szCs w:val="28"/>
          <w:lang w:val="el-GR"/>
        </w:rPr>
      </w:pPr>
      <w:r>
        <w:rPr>
          <w:rFonts w:ascii="Bookman Old Style" w:hAnsi="Bookman Old Style"/>
          <w:sz w:val="28"/>
          <w:szCs w:val="28"/>
          <w:lang w:val="el-GR"/>
        </w:rPr>
        <w:t xml:space="preserve">Επιπλέον αφού το πρωτόδικο Δικαστήριο προέβη σε εξέταση του ζητήματος υπό το πρίσμα του συνταγματικού δικαιώματος της ελευθερίας του </w:t>
      </w:r>
      <w:proofErr w:type="spellStart"/>
      <w:r>
        <w:rPr>
          <w:rFonts w:ascii="Bookman Old Style" w:hAnsi="Bookman Old Style"/>
          <w:sz w:val="28"/>
          <w:szCs w:val="28"/>
          <w:lang w:val="el-GR"/>
        </w:rPr>
        <w:t>συμβάλλεσθαι</w:t>
      </w:r>
      <w:proofErr w:type="spellEnd"/>
      <w:r>
        <w:rPr>
          <w:rFonts w:ascii="Bookman Old Style" w:hAnsi="Bookman Old Style"/>
          <w:sz w:val="28"/>
          <w:szCs w:val="28"/>
          <w:lang w:val="el-GR"/>
        </w:rPr>
        <w:t xml:space="preserve">, όπως κατοχυρώνεται στο </w:t>
      </w:r>
      <w:r w:rsidR="00CD0AB9">
        <w:rPr>
          <w:rFonts w:ascii="Bookman Old Style" w:hAnsi="Bookman Old Style"/>
          <w:b/>
          <w:bCs/>
          <w:i/>
          <w:iCs/>
          <w:sz w:val="28"/>
          <w:szCs w:val="28"/>
          <w:lang w:val="el-GR"/>
        </w:rPr>
        <w:t>Ά</w:t>
      </w:r>
      <w:r w:rsidRPr="00182E6B">
        <w:rPr>
          <w:rFonts w:ascii="Bookman Old Style" w:hAnsi="Bookman Old Style"/>
          <w:b/>
          <w:bCs/>
          <w:i/>
          <w:iCs/>
          <w:sz w:val="28"/>
          <w:szCs w:val="28"/>
          <w:lang w:val="el-GR"/>
        </w:rPr>
        <w:t xml:space="preserve">ρθρο 26 </w:t>
      </w:r>
      <w:r w:rsidRPr="00CD0AB9">
        <w:rPr>
          <w:rFonts w:ascii="Bookman Old Style" w:hAnsi="Bookman Old Style"/>
          <w:sz w:val="28"/>
          <w:szCs w:val="28"/>
          <w:lang w:val="el-GR"/>
        </w:rPr>
        <w:t>του</w:t>
      </w:r>
      <w:r w:rsidRPr="00182E6B">
        <w:rPr>
          <w:rFonts w:ascii="Bookman Old Style" w:hAnsi="Bookman Old Style"/>
          <w:b/>
          <w:bCs/>
          <w:i/>
          <w:iCs/>
          <w:sz w:val="28"/>
          <w:szCs w:val="28"/>
          <w:lang w:val="el-GR"/>
        </w:rPr>
        <w:t xml:space="preserve"> Συντάγματος</w:t>
      </w:r>
      <w:r>
        <w:rPr>
          <w:rFonts w:ascii="Bookman Old Style" w:hAnsi="Bookman Old Style"/>
          <w:sz w:val="28"/>
          <w:szCs w:val="28"/>
          <w:lang w:val="el-GR"/>
        </w:rPr>
        <w:t xml:space="preserve">, </w:t>
      </w:r>
      <w:r w:rsidR="00182E6B">
        <w:rPr>
          <w:rFonts w:ascii="Bookman Old Style" w:hAnsi="Bookman Old Style"/>
          <w:sz w:val="28"/>
          <w:szCs w:val="28"/>
          <w:lang w:val="el-GR"/>
        </w:rPr>
        <w:t xml:space="preserve">ορθά κατέληξε ότι η υπόθεση </w:t>
      </w:r>
      <w:proofErr w:type="spellStart"/>
      <w:r w:rsidR="00182E6B" w:rsidRPr="00276F39">
        <w:rPr>
          <w:rFonts w:ascii="Bookman Old Style" w:hAnsi="Bookman Old Style"/>
          <w:b/>
          <w:bCs/>
          <w:i/>
          <w:iCs/>
          <w:sz w:val="28"/>
          <w:szCs w:val="28"/>
          <w:lang w:val="el-GR"/>
        </w:rPr>
        <w:t>Καλλικάς</w:t>
      </w:r>
      <w:proofErr w:type="spellEnd"/>
      <w:r w:rsidR="00182E6B" w:rsidRPr="00276F39">
        <w:rPr>
          <w:rFonts w:ascii="Bookman Old Style" w:hAnsi="Bookman Old Style"/>
          <w:b/>
          <w:bCs/>
          <w:i/>
          <w:iCs/>
          <w:sz w:val="28"/>
          <w:szCs w:val="28"/>
          <w:lang w:val="el-GR"/>
        </w:rPr>
        <w:t xml:space="preserve"> </w:t>
      </w:r>
      <w:r w:rsidR="00276F39" w:rsidRPr="00276F39">
        <w:rPr>
          <w:rFonts w:ascii="Bookman Old Style" w:hAnsi="Bookman Old Style"/>
          <w:b/>
          <w:bCs/>
          <w:i/>
          <w:iCs/>
          <w:sz w:val="28"/>
          <w:szCs w:val="28"/>
        </w:rPr>
        <w:t>v</w:t>
      </w:r>
      <w:r w:rsidR="00276F39" w:rsidRPr="00276F39">
        <w:rPr>
          <w:rFonts w:ascii="Bookman Old Style" w:hAnsi="Bookman Old Style"/>
          <w:b/>
          <w:bCs/>
          <w:i/>
          <w:iCs/>
          <w:sz w:val="28"/>
          <w:szCs w:val="28"/>
          <w:lang w:val="el-GR"/>
        </w:rPr>
        <w:t>. Ελληνικής Τράπεζα Λτδ (2010) 1(Β) Α.Α.Δ. 1238</w:t>
      </w:r>
      <w:r w:rsidR="00276F39">
        <w:rPr>
          <w:rFonts w:ascii="Bookman Old Style" w:hAnsi="Bookman Old Style"/>
          <w:sz w:val="28"/>
          <w:szCs w:val="28"/>
          <w:lang w:val="el-GR"/>
        </w:rPr>
        <w:t xml:space="preserve">, επισφραγίζει το συμπέρασμα του. Σε εκείνη την υπόθεση υιοθετήθηκε η απόφαση στην υπόθεση </w:t>
      </w:r>
      <w:proofErr w:type="spellStart"/>
      <w:r w:rsidR="00276F39" w:rsidRPr="00276F39">
        <w:rPr>
          <w:rFonts w:ascii="Bookman Old Style" w:hAnsi="Bookman Old Style"/>
          <w:b/>
          <w:bCs/>
          <w:i/>
          <w:iCs/>
          <w:sz w:val="28"/>
          <w:szCs w:val="28"/>
          <w:lang w:val="el-GR"/>
        </w:rPr>
        <w:t>Συρίμη</w:t>
      </w:r>
      <w:proofErr w:type="spellEnd"/>
      <w:r w:rsidR="00276F39" w:rsidRPr="00276F39">
        <w:rPr>
          <w:rFonts w:ascii="Bookman Old Style" w:hAnsi="Bookman Old Style"/>
          <w:b/>
          <w:bCs/>
          <w:i/>
          <w:iCs/>
          <w:sz w:val="28"/>
          <w:szCs w:val="28"/>
          <w:lang w:val="el-GR"/>
        </w:rPr>
        <w:t xml:space="preserve"> </w:t>
      </w:r>
      <w:r w:rsidR="00276F39" w:rsidRPr="00276F39">
        <w:rPr>
          <w:rFonts w:ascii="Bookman Old Style" w:hAnsi="Bookman Old Style"/>
          <w:b/>
          <w:bCs/>
          <w:i/>
          <w:iCs/>
          <w:sz w:val="28"/>
          <w:szCs w:val="28"/>
        </w:rPr>
        <w:t>v</w:t>
      </w:r>
      <w:r w:rsidR="00276F39" w:rsidRPr="00276F39">
        <w:rPr>
          <w:rFonts w:ascii="Bookman Old Style" w:hAnsi="Bookman Old Style"/>
          <w:b/>
          <w:bCs/>
          <w:i/>
          <w:iCs/>
          <w:sz w:val="28"/>
          <w:szCs w:val="28"/>
          <w:lang w:val="el-GR"/>
        </w:rPr>
        <w:t xml:space="preserve">. </w:t>
      </w:r>
      <w:proofErr w:type="spellStart"/>
      <w:r w:rsidR="00276F39" w:rsidRPr="00276F39">
        <w:rPr>
          <w:rFonts w:ascii="Bookman Old Style" w:hAnsi="Bookman Old Style"/>
          <w:b/>
          <w:bCs/>
          <w:i/>
          <w:iCs/>
          <w:sz w:val="28"/>
          <w:szCs w:val="28"/>
          <w:lang w:val="el-GR"/>
        </w:rPr>
        <w:t>Παγκυπριακή</w:t>
      </w:r>
      <w:proofErr w:type="spellEnd"/>
      <w:r w:rsidR="00276F39" w:rsidRPr="00276F39">
        <w:rPr>
          <w:rFonts w:ascii="Bookman Old Style" w:hAnsi="Bookman Old Style"/>
          <w:b/>
          <w:bCs/>
          <w:i/>
          <w:iCs/>
          <w:sz w:val="28"/>
          <w:szCs w:val="28"/>
          <w:lang w:val="el-GR"/>
        </w:rPr>
        <w:t xml:space="preserve"> Χρηματοδοτήσεις Δημόσια Εταιρεία Λτδ (2010) 1(</w:t>
      </w:r>
      <w:r w:rsidR="00194AF1">
        <w:rPr>
          <w:rFonts w:ascii="Bookman Old Style" w:hAnsi="Bookman Old Style"/>
          <w:b/>
          <w:bCs/>
          <w:i/>
          <w:iCs/>
          <w:sz w:val="28"/>
          <w:szCs w:val="28"/>
          <w:lang w:val="el-GR"/>
        </w:rPr>
        <w:t>Β</w:t>
      </w:r>
      <w:r w:rsidR="00276F39" w:rsidRPr="00276F39">
        <w:rPr>
          <w:rFonts w:ascii="Bookman Old Style" w:hAnsi="Bookman Old Style"/>
          <w:b/>
          <w:bCs/>
          <w:i/>
          <w:iCs/>
          <w:sz w:val="28"/>
          <w:szCs w:val="28"/>
          <w:lang w:val="el-GR"/>
        </w:rPr>
        <w:t>) Α.Α.Δ. 1131</w:t>
      </w:r>
      <w:r w:rsidR="00276F39">
        <w:rPr>
          <w:rFonts w:ascii="Bookman Old Style" w:hAnsi="Bookman Old Style"/>
          <w:sz w:val="28"/>
          <w:szCs w:val="28"/>
          <w:lang w:val="el-GR"/>
        </w:rPr>
        <w:t xml:space="preserve">, στην οποία αποφασίστηκε ότι σε σχέση με τις εγκυκλίους της Κεντρικής Τράπεζας, συμφωνία για άνοιγμα επενδυτικού λογαριασμού δεν μπορεί να θεωρηθεί παράνομη. </w:t>
      </w:r>
      <w:r w:rsidR="00F14902">
        <w:rPr>
          <w:rFonts w:ascii="Bookman Old Style" w:hAnsi="Bookman Old Style"/>
          <w:sz w:val="28"/>
          <w:szCs w:val="28"/>
          <w:lang w:val="el-GR"/>
        </w:rPr>
        <w:t xml:space="preserve">Η </w:t>
      </w:r>
      <w:proofErr w:type="spellStart"/>
      <w:r w:rsidR="00F14902" w:rsidRPr="00F14902">
        <w:rPr>
          <w:rFonts w:ascii="Bookman Old Style" w:hAnsi="Bookman Old Style"/>
          <w:b/>
          <w:bCs/>
          <w:i/>
          <w:iCs/>
          <w:sz w:val="28"/>
          <w:szCs w:val="28"/>
          <w:lang w:val="el-GR"/>
        </w:rPr>
        <w:t>Συρίμης</w:t>
      </w:r>
      <w:proofErr w:type="spellEnd"/>
      <w:r w:rsidR="00F14902">
        <w:rPr>
          <w:rFonts w:ascii="Bookman Old Style" w:hAnsi="Bookman Old Style"/>
          <w:sz w:val="28"/>
          <w:szCs w:val="28"/>
          <w:lang w:val="el-GR"/>
        </w:rPr>
        <w:t xml:space="preserve"> και η </w:t>
      </w:r>
      <w:proofErr w:type="spellStart"/>
      <w:r w:rsidR="00F14902" w:rsidRPr="00F14902">
        <w:rPr>
          <w:rFonts w:ascii="Bookman Old Style" w:hAnsi="Bookman Old Style"/>
          <w:b/>
          <w:bCs/>
          <w:i/>
          <w:iCs/>
          <w:sz w:val="28"/>
          <w:szCs w:val="28"/>
          <w:lang w:val="el-GR"/>
        </w:rPr>
        <w:t>Καλλικάς</w:t>
      </w:r>
      <w:proofErr w:type="spellEnd"/>
      <w:r w:rsidR="00F14902">
        <w:rPr>
          <w:rFonts w:ascii="Bookman Old Style" w:hAnsi="Bookman Old Style"/>
          <w:sz w:val="28"/>
          <w:szCs w:val="28"/>
          <w:lang w:val="el-GR"/>
        </w:rPr>
        <w:t xml:space="preserve"> </w:t>
      </w:r>
      <w:r w:rsidR="00F14902" w:rsidRPr="00F14902">
        <w:rPr>
          <w:rFonts w:ascii="Bookman Old Style" w:hAnsi="Bookman Old Style"/>
          <w:b/>
          <w:bCs/>
          <w:i/>
          <w:iCs/>
          <w:sz w:val="28"/>
          <w:szCs w:val="28"/>
          <w:lang w:val="el-GR"/>
        </w:rPr>
        <w:t>(ανωτέρω)</w:t>
      </w:r>
      <w:r w:rsidR="00F14902">
        <w:rPr>
          <w:rFonts w:ascii="Bookman Old Style" w:hAnsi="Bookman Old Style"/>
          <w:sz w:val="28"/>
          <w:szCs w:val="28"/>
          <w:lang w:val="el-GR"/>
        </w:rPr>
        <w:t xml:space="preserve"> υιοθετήθηκαν στην υπόθεση </w:t>
      </w:r>
      <w:proofErr w:type="spellStart"/>
      <w:r w:rsidR="00F14902" w:rsidRPr="00F14902">
        <w:rPr>
          <w:rFonts w:ascii="Bookman Old Style" w:hAnsi="Bookman Old Style"/>
          <w:b/>
          <w:bCs/>
          <w:i/>
          <w:iCs/>
          <w:sz w:val="28"/>
          <w:szCs w:val="28"/>
          <w:lang w:val="el-GR"/>
        </w:rPr>
        <w:t>Κουλλαπής</w:t>
      </w:r>
      <w:proofErr w:type="spellEnd"/>
      <w:r w:rsidR="00F14902" w:rsidRPr="00F14902">
        <w:rPr>
          <w:rFonts w:ascii="Bookman Old Style" w:hAnsi="Bookman Old Style"/>
          <w:b/>
          <w:bCs/>
          <w:i/>
          <w:iCs/>
          <w:sz w:val="28"/>
          <w:szCs w:val="28"/>
          <w:lang w:val="el-GR"/>
        </w:rPr>
        <w:t xml:space="preserve"> </w:t>
      </w:r>
      <w:r w:rsidR="00F14902" w:rsidRPr="00F14902">
        <w:rPr>
          <w:rFonts w:ascii="Bookman Old Style" w:hAnsi="Bookman Old Style"/>
          <w:b/>
          <w:bCs/>
          <w:i/>
          <w:iCs/>
          <w:sz w:val="28"/>
          <w:szCs w:val="28"/>
        </w:rPr>
        <w:t>v</w:t>
      </w:r>
      <w:r w:rsidR="00F14902" w:rsidRPr="00F14902">
        <w:rPr>
          <w:rFonts w:ascii="Bookman Old Style" w:hAnsi="Bookman Old Style"/>
          <w:b/>
          <w:bCs/>
          <w:i/>
          <w:iCs/>
          <w:sz w:val="28"/>
          <w:szCs w:val="28"/>
          <w:lang w:val="el-GR"/>
        </w:rPr>
        <w:t xml:space="preserve">. Εθνικής </w:t>
      </w:r>
      <w:proofErr w:type="spellStart"/>
      <w:r w:rsidR="00F14902" w:rsidRPr="00F14902">
        <w:rPr>
          <w:rFonts w:ascii="Bookman Old Style" w:hAnsi="Bookman Old Style"/>
          <w:b/>
          <w:bCs/>
          <w:i/>
          <w:iCs/>
          <w:sz w:val="28"/>
          <w:szCs w:val="28"/>
          <w:lang w:val="el-GR"/>
        </w:rPr>
        <w:t>Τράπ</w:t>
      </w:r>
      <w:r w:rsidR="009B452E">
        <w:rPr>
          <w:rFonts w:ascii="Bookman Old Style" w:hAnsi="Bookman Old Style"/>
          <w:b/>
          <w:bCs/>
          <w:i/>
          <w:iCs/>
          <w:sz w:val="28"/>
          <w:szCs w:val="28"/>
          <w:lang w:val="el-GR"/>
        </w:rPr>
        <w:t>η</w:t>
      </w:r>
      <w:r w:rsidR="00F14902" w:rsidRPr="00F14902">
        <w:rPr>
          <w:rFonts w:ascii="Bookman Old Style" w:hAnsi="Bookman Old Style"/>
          <w:b/>
          <w:bCs/>
          <w:i/>
          <w:iCs/>
          <w:sz w:val="28"/>
          <w:szCs w:val="28"/>
          <w:lang w:val="el-GR"/>
        </w:rPr>
        <w:t>εζας</w:t>
      </w:r>
      <w:proofErr w:type="spellEnd"/>
      <w:r w:rsidR="00F14902" w:rsidRPr="00F14902">
        <w:rPr>
          <w:rFonts w:ascii="Bookman Old Style" w:hAnsi="Bookman Old Style"/>
          <w:b/>
          <w:bCs/>
          <w:i/>
          <w:iCs/>
          <w:sz w:val="28"/>
          <w:szCs w:val="28"/>
          <w:lang w:val="el-GR"/>
        </w:rPr>
        <w:t xml:space="preserve"> της Ελλάδος (Κύπρου) Λτδ (</w:t>
      </w:r>
      <w:r w:rsidR="00F14902">
        <w:rPr>
          <w:rFonts w:ascii="Bookman Old Style" w:hAnsi="Bookman Old Style"/>
          <w:b/>
          <w:bCs/>
          <w:i/>
          <w:iCs/>
          <w:sz w:val="28"/>
          <w:szCs w:val="28"/>
          <w:lang w:val="el-GR"/>
        </w:rPr>
        <w:t>201</w:t>
      </w:r>
      <w:r w:rsidR="00F14902" w:rsidRPr="00F14902">
        <w:rPr>
          <w:rFonts w:ascii="Bookman Old Style" w:hAnsi="Bookman Old Style"/>
          <w:b/>
          <w:bCs/>
          <w:i/>
          <w:iCs/>
          <w:sz w:val="28"/>
          <w:szCs w:val="28"/>
          <w:lang w:val="el-GR"/>
        </w:rPr>
        <w:t>5) 1(Γ) Α.Α.Δ. 2376</w:t>
      </w:r>
      <w:r w:rsidR="00F14902">
        <w:rPr>
          <w:rFonts w:ascii="Bookman Old Style" w:hAnsi="Bookman Old Style"/>
          <w:sz w:val="28"/>
          <w:szCs w:val="28"/>
          <w:lang w:val="el-GR"/>
        </w:rPr>
        <w:t>, στην οποία το Ανώτατο Δικαστήριο απέρριψε την εισήγηση</w:t>
      </w:r>
      <w:r w:rsidR="001971CA">
        <w:rPr>
          <w:rFonts w:ascii="Bookman Old Style" w:hAnsi="Bookman Old Style"/>
          <w:sz w:val="28"/>
          <w:szCs w:val="28"/>
          <w:lang w:val="el-GR"/>
        </w:rPr>
        <w:t xml:space="preserve"> </w:t>
      </w:r>
      <w:r w:rsidR="00B96C57">
        <w:rPr>
          <w:rFonts w:ascii="Bookman Old Style" w:hAnsi="Bookman Old Style"/>
          <w:sz w:val="28"/>
          <w:szCs w:val="28"/>
          <w:lang w:val="el-GR"/>
        </w:rPr>
        <w:t xml:space="preserve">για απόκλιση από τις εν λόγω αποφάσεις και επανέλαβε ότι </w:t>
      </w:r>
      <w:r w:rsidR="00B96C57">
        <w:rPr>
          <w:rFonts w:ascii="Bookman Old Style" w:hAnsi="Bookman Old Style"/>
          <w:color w:val="000000"/>
          <w:sz w:val="28"/>
          <w:szCs w:val="28"/>
          <w:lang w:val="el-GR"/>
        </w:rPr>
        <w:t>ο</w:t>
      </w:r>
      <w:r w:rsidR="00B96C57" w:rsidRPr="00B96C57">
        <w:rPr>
          <w:rFonts w:ascii="Bookman Old Style" w:hAnsi="Bookman Old Style"/>
          <w:color w:val="000000"/>
          <w:sz w:val="28"/>
          <w:szCs w:val="28"/>
          <w:lang w:val="el-GR"/>
        </w:rPr>
        <w:t xml:space="preserve">ι </w:t>
      </w:r>
      <w:r w:rsidR="00B96C57">
        <w:rPr>
          <w:rFonts w:ascii="Bookman Old Style" w:hAnsi="Bookman Old Style"/>
          <w:color w:val="000000"/>
          <w:sz w:val="28"/>
          <w:szCs w:val="28"/>
          <w:lang w:val="el-GR"/>
        </w:rPr>
        <w:t>ε</w:t>
      </w:r>
      <w:r w:rsidR="00B96C57" w:rsidRPr="00B96C57">
        <w:rPr>
          <w:rFonts w:ascii="Bookman Old Style" w:hAnsi="Bookman Old Style"/>
          <w:color w:val="000000"/>
          <w:sz w:val="28"/>
          <w:szCs w:val="28"/>
          <w:lang w:val="el-GR"/>
        </w:rPr>
        <w:t>γκύκλιοι της Κεντρικής Τράπεζας δεν διαμορφώνουν δημόσια πολιτική που να απαγορεύει την παραχώρηση πιστώσεων για αγορά μετοχών</w:t>
      </w:r>
      <w:r w:rsidR="00B96C57">
        <w:rPr>
          <w:rFonts w:ascii="Bookman Old Style" w:hAnsi="Bookman Old Style"/>
          <w:color w:val="000000"/>
          <w:sz w:val="28"/>
          <w:szCs w:val="28"/>
          <w:lang w:val="el-GR"/>
        </w:rPr>
        <w:t xml:space="preserve">. </w:t>
      </w:r>
    </w:p>
    <w:p w14:paraId="1DFA02CF" w14:textId="3960B02B" w:rsidR="005A405D" w:rsidRPr="00B96C57" w:rsidRDefault="005A405D" w:rsidP="00F45B82">
      <w:pPr>
        <w:spacing w:before="240" w:line="480" w:lineRule="auto"/>
        <w:ind w:firstLine="567"/>
        <w:jc w:val="both"/>
        <w:rPr>
          <w:rFonts w:ascii="Bookman Old Style" w:hAnsi="Bookman Old Style"/>
          <w:b/>
          <w:bCs/>
          <w:i/>
          <w:iCs/>
          <w:sz w:val="28"/>
          <w:szCs w:val="28"/>
          <w:lang w:val="el-GR"/>
        </w:rPr>
      </w:pPr>
      <w:r>
        <w:rPr>
          <w:rFonts w:ascii="Bookman Old Style" w:hAnsi="Bookman Old Style"/>
          <w:color w:val="000000"/>
          <w:sz w:val="28"/>
          <w:szCs w:val="28"/>
          <w:lang w:val="el-GR"/>
        </w:rPr>
        <w:lastRenderedPageBreak/>
        <w:t>Στο ίδιο πλαίσιο κρίνεται αβάσιμη και η εισήγηση ότι παραβίαση οδηγίας της Κεντρικής Τράπεζας από την Εφεσίβλητη ως προς την υπέρβαση της πιστωτικής της επέκτασης</w:t>
      </w:r>
      <w:r w:rsidR="001971CA">
        <w:rPr>
          <w:rFonts w:ascii="Bookman Old Style" w:hAnsi="Bookman Old Style"/>
          <w:color w:val="000000"/>
          <w:sz w:val="28"/>
          <w:szCs w:val="28"/>
          <w:lang w:val="el-GR"/>
        </w:rPr>
        <w:t xml:space="preserve"> </w:t>
      </w:r>
      <w:r>
        <w:rPr>
          <w:rFonts w:ascii="Bookman Old Style" w:hAnsi="Bookman Old Style"/>
          <w:color w:val="000000"/>
          <w:sz w:val="28"/>
          <w:szCs w:val="28"/>
          <w:lang w:val="el-GR"/>
        </w:rPr>
        <w:t>καθιστά τη συμφωνία παράνομη.</w:t>
      </w:r>
    </w:p>
    <w:p w14:paraId="6A064886" w14:textId="76EDB5DA" w:rsidR="00DD0004" w:rsidRDefault="005E2762" w:rsidP="00F45B8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Ως εκ τούτου και ο πρώτος λόγος έφεσης απορρίπτεται. </w:t>
      </w:r>
    </w:p>
    <w:p w14:paraId="29347B04" w14:textId="65509CC9" w:rsidR="005E2762" w:rsidRDefault="00CC7DAA" w:rsidP="00F45B8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5E2762">
        <w:rPr>
          <w:rFonts w:ascii="Bookman Old Style" w:hAnsi="Bookman Old Style"/>
          <w:sz w:val="28"/>
          <w:szCs w:val="28"/>
          <w:lang w:val="el-GR"/>
        </w:rPr>
        <w:t xml:space="preserve">Έφεση απορρίπτεται. </w:t>
      </w:r>
    </w:p>
    <w:p w14:paraId="0B8EBBF8" w14:textId="21963812" w:rsidR="00F45B82" w:rsidRDefault="00CC7DAA" w:rsidP="00F45B8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w:t>
      </w:r>
      <w:r w:rsidR="00C64753">
        <w:rPr>
          <w:rFonts w:ascii="Bookman Old Style" w:hAnsi="Bookman Old Style"/>
          <w:sz w:val="28"/>
          <w:szCs w:val="28"/>
          <w:lang w:val="el-GR"/>
        </w:rPr>
        <w:t>4.0</w:t>
      </w:r>
      <w:r>
        <w:rPr>
          <w:rFonts w:ascii="Bookman Old Style" w:hAnsi="Bookman Old Style"/>
          <w:sz w:val="28"/>
          <w:szCs w:val="28"/>
          <w:lang w:val="el-GR"/>
        </w:rPr>
        <w:t xml:space="preserve">00 </w:t>
      </w:r>
      <w:r w:rsidR="005E2762">
        <w:rPr>
          <w:rFonts w:ascii="Bookman Old Style" w:hAnsi="Bookman Old Style"/>
          <w:sz w:val="28"/>
          <w:szCs w:val="28"/>
          <w:lang w:val="el-GR"/>
        </w:rPr>
        <w:t>έξοδα της Έφεσης</w:t>
      </w:r>
      <w:r>
        <w:rPr>
          <w:rFonts w:ascii="Bookman Old Style" w:hAnsi="Bookman Old Style"/>
          <w:sz w:val="28"/>
          <w:szCs w:val="28"/>
          <w:lang w:val="el-GR"/>
        </w:rPr>
        <w:t xml:space="preserve">, πλέον ΦΠΑ εάν υπάρχει, </w:t>
      </w:r>
      <w:r w:rsidR="005E2762">
        <w:rPr>
          <w:rFonts w:ascii="Bookman Old Style" w:hAnsi="Bookman Old Style"/>
          <w:sz w:val="28"/>
          <w:szCs w:val="28"/>
          <w:lang w:val="el-GR"/>
        </w:rPr>
        <w:t>επιδικάζονται υπέρ της Εφεσίβλητης και εναντίον του Εφεσείοντα.</w:t>
      </w:r>
    </w:p>
    <w:p w14:paraId="5E832C51" w14:textId="77777777" w:rsidR="00F45B82" w:rsidRDefault="00F45B82" w:rsidP="00F45B82">
      <w:pPr>
        <w:spacing w:before="240" w:line="480" w:lineRule="auto"/>
        <w:ind w:firstLine="567"/>
        <w:jc w:val="both"/>
        <w:rPr>
          <w:rFonts w:ascii="Bookman Old Style" w:hAnsi="Bookman Old Style"/>
          <w:sz w:val="28"/>
          <w:szCs w:val="28"/>
          <w:lang w:val="el-GR"/>
        </w:rPr>
      </w:pPr>
    </w:p>
    <w:p w14:paraId="0A7A28A3" w14:textId="77777777" w:rsidR="00F45B82" w:rsidRDefault="00F45B82" w:rsidP="00F45B82">
      <w:pPr>
        <w:spacing w:before="240" w:line="480" w:lineRule="auto"/>
        <w:ind w:firstLine="567"/>
        <w:jc w:val="both"/>
        <w:rPr>
          <w:rFonts w:ascii="Bookman Old Style" w:hAnsi="Bookman Old Style"/>
          <w:sz w:val="28"/>
          <w:szCs w:val="28"/>
          <w:lang w:val="el-GR"/>
        </w:rPr>
      </w:pPr>
    </w:p>
    <w:p w14:paraId="45E5485D" w14:textId="578A0DBE" w:rsidR="00F45B82" w:rsidRDefault="00F45B82" w:rsidP="00F45B82">
      <w:pPr>
        <w:spacing w:before="240" w:line="240" w:lineRule="auto"/>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Χ. ΜΑΛΑΧΤΟΣ, Δ.</w:t>
      </w:r>
    </w:p>
    <w:p w14:paraId="788D2A19" w14:textId="77777777" w:rsidR="00F45B82" w:rsidRDefault="00F45B82" w:rsidP="00F45B82">
      <w:pPr>
        <w:spacing w:before="240" w:line="240" w:lineRule="auto"/>
        <w:ind w:firstLine="567"/>
        <w:jc w:val="both"/>
        <w:rPr>
          <w:rFonts w:ascii="Bookman Old Style" w:hAnsi="Bookman Old Style"/>
          <w:sz w:val="28"/>
          <w:szCs w:val="28"/>
          <w:lang w:val="el-GR"/>
        </w:rPr>
      </w:pPr>
    </w:p>
    <w:p w14:paraId="1DC468DB" w14:textId="5B3B07EA" w:rsidR="00F45B82" w:rsidRDefault="00F45B82" w:rsidP="00F45B82">
      <w:pPr>
        <w:spacing w:before="240" w:line="240" w:lineRule="auto"/>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Ι. ΙΩΑΝΝΙΔΗΣ, Δ.</w:t>
      </w:r>
    </w:p>
    <w:p w14:paraId="0853264F" w14:textId="5C18D2CC" w:rsidR="00F45B82" w:rsidRDefault="00F45B82" w:rsidP="00F45B82">
      <w:pPr>
        <w:spacing w:before="240" w:line="240" w:lineRule="auto"/>
        <w:ind w:firstLine="567"/>
        <w:jc w:val="both"/>
        <w:rPr>
          <w:rFonts w:ascii="Bookman Old Style" w:hAnsi="Bookman Old Style"/>
          <w:sz w:val="28"/>
          <w:szCs w:val="28"/>
          <w:lang w:val="el-GR"/>
        </w:rPr>
      </w:pPr>
    </w:p>
    <w:p w14:paraId="40EF0871" w14:textId="3E8B888E" w:rsidR="00F45B82" w:rsidRDefault="00F45B82" w:rsidP="00F45B82">
      <w:pPr>
        <w:spacing w:before="240" w:line="240" w:lineRule="auto"/>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1D6A9744" w14:textId="77777777" w:rsidR="00F45B82" w:rsidRDefault="00F45B82" w:rsidP="00F45B82">
      <w:pPr>
        <w:spacing w:before="240" w:line="480" w:lineRule="auto"/>
        <w:ind w:firstLine="567"/>
        <w:jc w:val="both"/>
        <w:rPr>
          <w:rFonts w:ascii="Bookman Old Style" w:hAnsi="Bookman Old Style"/>
          <w:sz w:val="28"/>
          <w:szCs w:val="28"/>
          <w:lang w:val="el-GR"/>
        </w:rPr>
      </w:pPr>
    </w:p>
    <w:p w14:paraId="6FBE135D" w14:textId="77777777" w:rsidR="00F45B82" w:rsidRDefault="00F45B82" w:rsidP="00FC4294">
      <w:pPr>
        <w:spacing w:before="240" w:line="480" w:lineRule="auto"/>
        <w:jc w:val="both"/>
        <w:rPr>
          <w:rFonts w:ascii="Bookman Old Style" w:hAnsi="Bookman Old Style"/>
          <w:sz w:val="28"/>
          <w:szCs w:val="28"/>
          <w:lang w:val="el-GR"/>
        </w:rPr>
      </w:pPr>
    </w:p>
    <w:p w14:paraId="2FA58613" w14:textId="77777777" w:rsidR="00F45B82" w:rsidRDefault="00F45B82" w:rsidP="00F45B82">
      <w:pPr>
        <w:spacing w:before="240" w:line="480" w:lineRule="auto"/>
        <w:ind w:firstLine="567"/>
        <w:jc w:val="both"/>
        <w:rPr>
          <w:rFonts w:ascii="Bookman Old Style" w:hAnsi="Bookman Old Style"/>
          <w:sz w:val="28"/>
          <w:szCs w:val="28"/>
          <w:lang w:val="el-GR"/>
        </w:rPr>
      </w:pPr>
    </w:p>
    <w:p w14:paraId="7E4D716B" w14:textId="6581EB97" w:rsidR="00A359CB" w:rsidRDefault="00F45B82" w:rsidP="00FC4294">
      <w:pPr>
        <w:spacing w:before="240" w:line="480" w:lineRule="auto"/>
        <w:ind w:firstLine="567"/>
        <w:jc w:val="both"/>
        <w:rPr>
          <w:rFonts w:ascii="Bookman Old Style" w:hAnsi="Bookman Old Style"/>
          <w:sz w:val="28"/>
          <w:szCs w:val="28"/>
          <w:lang w:val="el-GR"/>
        </w:rPr>
      </w:pPr>
      <w:bookmarkStart w:id="0" w:name="_Hlk162381892"/>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r>
        <w:rPr>
          <w:rFonts w:ascii="Bookman Old Style" w:hAnsi="Bookman Old Style"/>
          <w:sz w:val="28"/>
          <w:szCs w:val="28"/>
          <w:lang w:val="el-GR"/>
        </w:rPr>
        <w:tab/>
      </w:r>
      <w:r>
        <w:rPr>
          <w:rFonts w:ascii="Bookman Old Style" w:hAnsi="Bookman Old Style"/>
          <w:sz w:val="28"/>
          <w:szCs w:val="28"/>
          <w:lang w:val="el-GR"/>
        </w:rPr>
        <w:tab/>
      </w:r>
      <w:bookmarkEnd w:id="0"/>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sidR="005E2762">
        <w:rPr>
          <w:rFonts w:ascii="Bookman Old Style" w:hAnsi="Bookman Old Style"/>
          <w:sz w:val="28"/>
          <w:szCs w:val="28"/>
          <w:lang w:val="el-GR"/>
        </w:rPr>
        <w:t xml:space="preserve"> </w:t>
      </w:r>
    </w:p>
    <w:sectPr w:rsidR="00A359CB" w:rsidSect="000251C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C2E0F" w14:textId="77777777" w:rsidR="000251C1" w:rsidRDefault="000251C1" w:rsidP="002E151F">
      <w:pPr>
        <w:spacing w:after="0" w:line="240" w:lineRule="auto"/>
      </w:pPr>
      <w:r>
        <w:separator/>
      </w:r>
    </w:p>
  </w:endnote>
  <w:endnote w:type="continuationSeparator" w:id="0">
    <w:p w14:paraId="3B92AA8F" w14:textId="77777777" w:rsidR="000251C1" w:rsidRDefault="000251C1" w:rsidP="002E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4CF0D" w14:textId="77777777" w:rsidR="000251C1" w:rsidRDefault="000251C1" w:rsidP="002E151F">
      <w:pPr>
        <w:spacing w:after="0" w:line="240" w:lineRule="auto"/>
      </w:pPr>
      <w:r>
        <w:separator/>
      </w:r>
    </w:p>
  </w:footnote>
  <w:footnote w:type="continuationSeparator" w:id="0">
    <w:p w14:paraId="44E3103A" w14:textId="77777777" w:rsidR="000251C1" w:rsidRDefault="000251C1" w:rsidP="002E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9793559"/>
      <w:docPartObj>
        <w:docPartGallery w:val="Page Numbers (Top of Page)"/>
        <w:docPartUnique/>
      </w:docPartObj>
    </w:sdtPr>
    <w:sdtEndPr>
      <w:rPr>
        <w:noProof/>
      </w:rPr>
    </w:sdtEndPr>
    <w:sdtContent>
      <w:p w14:paraId="506981AD" w14:textId="000D849B" w:rsidR="002E151F" w:rsidRDefault="002E15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B6601C" w14:textId="77777777" w:rsidR="002E151F" w:rsidRDefault="002E1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11640"/>
    <w:multiLevelType w:val="hybridMultilevel"/>
    <w:tmpl w:val="454013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5F42F8D"/>
    <w:multiLevelType w:val="hybridMultilevel"/>
    <w:tmpl w:val="3C04E8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47965748">
    <w:abstractNumId w:val="0"/>
  </w:num>
  <w:num w:numId="2" w16cid:durableId="687831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7E"/>
    <w:rsid w:val="000002D6"/>
    <w:rsid w:val="00001508"/>
    <w:rsid w:val="00004249"/>
    <w:rsid w:val="00006DB9"/>
    <w:rsid w:val="000251C1"/>
    <w:rsid w:val="000403DA"/>
    <w:rsid w:val="00040F6E"/>
    <w:rsid w:val="0004148A"/>
    <w:rsid w:val="000458DA"/>
    <w:rsid w:val="00047D1D"/>
    <w:rsid w:val="000554BD"/>
    <w:rsid w:val="000647AC"/>
    <w:rsid w:val="000769A8"/>
    <w:rsid w:val="00076F80"/>
    <w:rsid w:val="00081AB8"/>
    <w:rsid w:val="00094085"/>
    <w:rsid w:val="000A3112"/>
    <w:rsid w:val="000A6F3C"/>
    <w:rsid w:val="000A70C3"/>
    <w:rsid w:val="000B068A"/>
    <w:rsid w:val="000B712A"/>
    <w:rsid w:val="000B7744"/>
    <w:rsid w:val="000C08EA"/>
    <w:rsid w:val="000C481C"/>
    <w:rsid w:val="000C76FE"/>
    <w:rsid w:val="000D2E94"/>
    <w:rsid w:val="000D4122"/>
    <w:rsid w:val="000D7831"/>
    <w:rsid w:val="000E087F"/>
    <w:rsid w:val="000E4A47"/>
    <w:rsid w:val="000F329A"/>
    <w:rsid w:val="000F3C1C"/>
    <w:rsid w:val="00102907"/>
    <w:rsid w:val="001032BB"/>
    <w:rsid w:val="001038D9"/>
    <w:rsid w:val="0010407F"/>
    <w:rsid w:val="00107773"/>
    <w:rsid w:val="00111712"/>
    <w:rsid w:val="0011182C"/>
    <w:rsid w:val="00115017"/>
    <w:rsid w:val="00130E14"/>
    <w:rsid w:val="00134D2F"/>
    <w:rsid w:val="00162888"/>
    <w:rsid w:val="0017741A"/>
    <w:rsid w:val="00182E6B"/>
    <w:rsid w:val="001911DA"/>
    <w:rsid w:val="00193C50"/>
    <w:rsid w:val="00194AF1"/>
    <w:rsid w:val="001971CA"/>
    <w:rsid w:val="001A2414"/>
    <w:rsid w:val="001A3321"/>
    <w:rsid w:val="001A56C2"/>
    <w:rsid w:val="001A5C3E"/>
    <w:rsid w:val="001A6BE3"/>
    <w:rsid w:val="001B69B6"/>
    <w:rsid w:val="001B6E0D"/>
    <w:rsid w:val="001B74CC"/>
    <w:rsid w:val="001C056A"/>
    <w:rsid w:val="001C056B"/>
    <w:rsid w:val="001C1DDD"/>
    <w:rsid w:val="001D1451"/>
    <w:rsid w:val="001D2C80"/>
    <w:rsid w:val="001D3C45"/>
    <w:rsid w:val="001D5714"/>
    <w:rsid w:val="001E018D"/>
    <w:rsid w:val="001F0F67"/>
    <w:rsid w:val="00200590"/>
    <w:rsid w:val="002006B7"/>
    <w:rsid w:val="00202A15"/>
    <w:rsid w:val="00205B79"/>
    <w:rsid w:val="00213B00"/>
    <w:rsid w:val="00213E38"/>
    <w:rsid w:val="002146D7"/>
    <w:rsid w:val="00214A34"/>
    <w:rsid w:val="00220754"/>
    <w:rsid w:val="002208B2"/>
    <w:rsid w:val="00223EFA"/>
    <w:rsid w:val="00224D72"/>
    <w:rsid w:val="00231CF9"/>
    <w:rsid w:val="00234E35"/>
    <w:rsid w:val="00240F77"/>
    <w:rsid w:val="002414A3"/>
    <w:rsid w:val="00246A11"/>
    <w:rsid w:val="00261CDD"/>
    <w:rsid w:val="00263143"/>
    <w:rsid w:val="00267DDA"/>
    <w:rsid w:val="00272978"/>
    <w:rsid w:val="00275B68"/>
    <w:rsid w:val="00276F39"/>
    <w:rsid w:val="0028298A"/>
    <w:rsid w:val="00290011"/>
    <w:rsid w:val="00292B11"/>
    <w:rsid w:val="002A5D37"/>
    <w:rsid w:val="002B289B"/>
    <w:rsid w:val="002B2E64"/>
    <w:rsid w:val="002C03BE"/>
    <w:rsid w:val="002C6AAC"/>
    <w:rsid w:val="002C7C3F"/>
    <w:rsid w:val="002D4C92"/>
    <w:rsid w:val="002E151F"/>
    <w:rsid w:val="002E245F"/>
    <w:rsid w:val="002E4966"/>
    <w:rsid w:val="002E4B21"/>
    <w:rsid w:val="002E7A4E"/>
    <w:rsid w:val="002F07DC"/>
    <w:rsid w:val="002F1F84"/>
    <w:rsid w:val="002F2E05"/>
    <w:rsid w:val="002F596D"/>
    <w:rsid w:val="00311CD6"/>
    <w:rsid w:val="00312E2E"/>
    <w:rsid w:val="00313D16"/>
    <w:rsid w:val="003153D2"/>
    <w:rsid w:val="00336A15"/>
    <w:rsid w:val="00337E24"/>
    <w:rsid w:val="003423AC"/>
    <w:rsid w:val="00347FE0"/>
    <w:rsid w:val="00356F91"/>
    <w:rsid w:val="003577EE"/>
    <w:rsid w:val="00363D2D"/>
    <w:rsid w:val="00364893"/>
    <w:rsid w:val="00382DF7"/>
    <w:rsid w:val="00383CA9"/>
    <w:rsid w:val="0038422B"/>
    <w:rsid w:val="00385A7C"/>
    <w:rsid w:val="00395EFB"/>
    <w:rsid w:val="0039764C"/>
    <w:rsid w:val="003A16B8"/>
    <w:rsid w:val="003A584F"/>
    <w:rsid w:val="003C7D2B"/>
    <w:rsid w:val="003D35D2"/>
    <w:rsid w:val="003E33DB"/>
    <w:rsid w:val="003E3C6E"/>
    <w:rsid w:val="003F75AC"/>
    <w:rsid w:val="00403C5D"/>
    <w:rsid w:val="0040410C"/>
    <w:rsid w:val="00406505"/>
    <w:rsid w:val="00406B4D"/>
    <w:rsid w:val="00421B9A"/>
    <w:rsid w:val="004227A5"/>
    <w:rsid w:val="004279EE"/>
    <w:rsid w:val="00435276"/>
    <w:rsid w:val="00440941"/>
    <w:rsid w:val="00486483"/>
    <w:rsid w:val="004902C5"/>
    <w:rsid w:val="004906B8"/>
    <w:rsid w:val="00491383"/>
    <w:rsid w:val="00493B52"/>
    <w:rsid w:val="00494D97"/>
    <w:rsid w:val="004972A2"/>
    <w:rsid w:val="004B03B6"/>
    <w:rsid w:val="004B2F89"/>
    <w:rsid w:val="004B31B2"/>
    <w:rsid w:val="004C00D3"/>
    <w:rsid w:val="004C25D2"/>
    <w:rsid w:val="004D1A3E"/>
    <w:rsid w:val="004D5AB6"/>
    <w:rsid w:val="004D79F6"/>
    <w:rsid w:val="004E09CE"/>
    <w:rsid w:val="0050145A"/>
    <w:rsid w:val="00503998"/>
    <w:rsid w:val="0051230F"/>
    <w:rsid w:val="00521343"/>
    <w:rsid w:val="00524D80"/>
    <w:rsid w:val="0052571E"/>
    <w:rsid w:val="005309E7"/>
    <w:rsid w:val="00531E16"/>
    <w:rsid w:val="00534259"/>
    <w:rsid w:val="00547B22"/>
    <w:rsid w:val="00552368"/>
    <w:rsid w:val="00554B7C"/>
    <w:rsid w:val="00555992"/>
    <w:rsid w:val="00570934"/>
    <w:rsid w:val="00575057"/>
    <w:rsid w:val="00577A38"/>
    <w:rsid w:val="00585F7E"/>
    <w:rsid w:val="005916EF"/>
    <w:rsid w:val="00594EDB"/>
    <w:rsid w:val="00597097"/>
    <w:rsid w:val="005A3717"/>
    <w:rsid w:val="005A405D"/>
    <w:rsid w:val="005B411D"/>
    <w:rsid w:val="005C0551"/>
    <w:rsid w:val="005C45DE"/>
    <w:rsid w:val="005D1FB5"/>
    <w:rsid w:val="005D21B1"/>
    <w:rsid w:val="005E1EEF"/>
    <w:rsid w:val="005E2762"/>
    <w:rsid w:val="005E3730"/>
    <w:rsid w:val="005E3F94"/>
    <w:rsid w:val="005F0698"/>
    <w:rsid w:val="005F3F23"/>
    <w:rsid w:val="00606A78"/>
    <w:rsid w:val="00624AB9"/>
    <w:rsid w:val="00625BD2"/>
    <w:rsid w:val="0062762C"/>
    <w:rsid w:val="00636DF9"/>
    <w:rsid w:val="00644DD8"/>
    <w:rsid w:val="00644E96"/>
    <w:rsid w:val="00651A8E"/>
    <w:rsid w:val="00656547"/>
    <w:rsid w:val="0066006E"/>
    <w:rsid w:val="00662E05"/>
    <w:rsid w:val="006701AE"/>
    <w:rsid w:val="006733B4"/>
    <w:rsid w:val="00677BDE"/>
    <w:rsid w:val="00694DBD"/>
    <w:rsid w:val="00695898"/>
    <w:rsid w:val="006A357D"/>
    <w:rsid w:val="006B5627"/>
    <w:rsid w:val="006D0B3B"/>
    <w:rsid w:val="006D5541"/>
    <w:rsid w:val="006E01FE"/>
    <w:rsid w:val="006E24B8"/>
    <w:rsid w:val="006E5442"/>
    <w:rsid w:val="006F1DC1"/>
    <w:rsid w:val="006F709F"/>
    <w:rsid w:val="006F7B00"/>
    <w:rsid w:val="00700766"/>
    <w:rsid w:val="00702F6F"/>
    <w:rsid w:val="00703BEC"/>
    <w:rsid w:val="00713122"/>
    <w:rsid w:val="007136A3"/>
    <w:rsid w:val="00715E79"/>
    <w:rsid w:val="00720799"/>
    <w:rsid w:val="00721429"/>
    <w:rsid w:val="007350D0"/>
    <w:rsid w:val="00735890"/>
    <w:rsid w:val="00742D4E"/>
    <w:rsid w:val="00743E83"/>
    <w:rsid w:val="00751EA7"/>
    <w:rsid w:val="00753E0E"/>
    <w:rsid w:val="00763F8B"/>
    <w:rsid w:val="00765914"/>
    <w:rsid w:val="00772196"/>
    <w:rsid w:val="00772498"/>
    <w:rsid w:val="00780E27"/>
    <w:rsid w:val="007A2093"/>
    <w:rsid w:val="007A3A5C"/>
    <w:rsid w:val="007B3377"/>
    <w:rsid w:val="007C0211"/>
    <w:rsid w:val="007D003D"/>
    <w:rsid w:val="007D50FA"/>
    <w:rsid w:val="007E010C"/>
    <w:rsid w:val="007E1146"/>
    <w:rsid w:val="007E315D"/>
    <w:rsid w:val="007E52BD"/>
    <w:rsid w:val="007E79FD"/>
    <w:rsid w:val="008111C7"/>
    <w:rsid w:val="0081596B"/>
    <w:rsid w:val="00820665"/>
    <w:rsid w:val="00840D02"/>
    <w:rsid w:val="00844AAF"/>
    <w:rsid w:val="008469CB"/>
    <w:rsid w:val="00847862"/>
    <w:rsid w:val="00855AA2"/>
    <w:rsid w:val="00877627"/>
    <w:rsid w:val="00883790"/>
    <w:rsid w:val="00890D51"/>
    <w:rsid w:val="008A7A8C"/>
    <w:rsid w:val="008C2539"/>
    <w:rsid w:val="008C6384"/>
    <w:rsid w:val="008C6663"/>
    <w:rsid w:val="008C79EF"/>
    <w:rsid w:val="008D254D"/>
    <w:rsid w:val="008D4D83"/>
    <w:rsid w:val="008E22C7"/>
    <w:rsid w:val="008E490F"/>
    <w:rsid w:val="008F12AD"/>
    <w:rsid w:val="008F2278"/>
    <w:rsid w:val="008F2AF4"/>
    <w:rsid w:val="008F444C"/>
    <w:rsid w:val="008F457B"/>
    <w:rsid w:val="008F653B"/>
    <w:rsid w:val="008F6FE7"/>
    <w:rsid w:val="008F7F2B"/>
    <w:rsid w:val="00900078"/>
    <w:rsid w:val="00900D38"/>
    <w:rsid w:val="00900E64"/>
    <w:rsid w:val="00904869"/>
    <w:rsid w:val="00910F20"/>
    <w:rsid w:val="00923883"/>
    <w:rsid w:val="00924B5D"/>
    <w:rsid w:val="00935F3E"/>
    <w:rsid w:val="00943C63"/>
    <w:rsid w:val="009465A8"/>
    <w:rsid w:val="00946F17"/>
    <w:rsid w:val="009538E5"/>
    <w:rsid w:val="00955BE3"/>
    <w:rsid w:val="00971676"/>
    <w:rsid w:val="00971B1A"/>
    <w:rsid w:val="00972668"/>
    <w:rsid w:val="009838C9"/>
    <w:rsid w:val="009840E2"/>
    <w:rsid w:val="00985B0B"/>
    <w:rsid w:val="00994F09"/>
    <w:rsid w:val="00996A9C"/>
    <w:rsid w:val="009A094A"/>
    <w:rsid w:val="009A3AA5"/>
    <w:rsid w:val="009A5A94"/>
    <w:rsid w:val="009A6C14"/>
    <w:rsid w:val="009B452E"/>
    <w:rsid w:val="009C75B9"/>
    <w:rsid w:val="009D79F9"/>
    <w:rsid w:val="009D7AE6"/>
    <w:rsid w:val="009E1514"/>
    <w:rsid w:val="009F21A4"/>
    <w:rsid w:val="009F7221"/>
    <w:rsid w:val="00A0001B"/>
    <w:rsid w:val="00A033B5"/>
    <w:rsid w:val="00A07AB4"/>
    <w:rsid w:val="00A13CE1"/>
    <w:rsid w:val="00A15D5A"/>
    <w:rsid w:val="00A178AC"/>
    <w:rsid w:val="00A17C3C"/>
    <w:rsid w:val="00A311F0"/>
    <w:rsid w:val="00A31CB0"/>
    <w:rsid w:val="00A359CB"/>
    <w:rsid w:val="00A35F48"/>
    <w:rsid w:val="00A3656B"/>
    <w:rsid w:val="00A44FD1"/>
    <w:rsid w:val="00A50B9C"/>
    <w:rsid w:val="00A629BC"/>
    <w:rsid w:val="00A62F10"/>
    <w:rsid w:val="00A736A3"/>
    <w:rsid w:val="00A8246F"/>
    <w:rsid w:val="00A853E1"/>
    <w:rsid w:val="00A90247"/>
    <w:rsid w:val="00A92EF5"/>
    <w:rsid w:val="00A97ADF"/>
    <w:rsid w:val="00AB02C7"/>
    <w:rsid w:val="00AB35A3"/>
    <w:rsid w:val="00AB3F7A"/>
    <w:rsid w:val="00AB4BE8"/>
    <w:rsid w:val="00AC058D"/>
    <w:rsid w:val="00AC24F7"/>
    <w:rsid w:val="00AC3478"/>
    <w:rsid w:val="00AD2E31"/>
    <w:rsid w:val="00AE6AD2"/>
    <w:rsid w:val="00AF18A0"/>
    <w:rsid w:val="00AF6E21"/>
    <w:rsid w:val="00B01B9C"/>
    <w:rsid w:val="00B04A24"/>
    <w:rsid w:val="00B077EF"/>
    <w:rsid w:val="00B173E9"/>
    <w:rsid w:val="00B22ED4"/>
    <w:rsid w:val="00B24368"/>
    <w:rsid w:val="00B40286"/>
    <w:rsid w:val="00B44DD8"/>
    <w:rsid w:val="00B5606D"/>
    <w:rsid w:val="00B57258"/>
    <w:rsid w:val="00B70ECD"/>
    <w:rsid w:val="00B75FFA"/>
    <w:rsid w:val="00B8196D"/>
    <w:rsid w:val="00B830EF"/>
    <w:rsid w:val="00B96C57"/>
    <w:rsid w:val="00B97206"/>
    <w:rsid w:val="00B976EE"/>
    <w:rsid w:val="00BA18C1"/>
    <w:rsid w:val="00BB2EF7"/>
    <w:rsid w:val="00BC7852"/>
    <w:rsid w:val="00BD1CD4"/>
    <w:rsid w:val="00BD4813"/>
    <w:rsid w:val="00BE767D"/>
    <w:rsid w:val="00BF3322"/>
    <w:rsid w:val="00C07D67"/>
    <w:rsid w:val="00C13E24"/>
    <w:rsid w:val="00C2232A"/>
    <w:rsid w:val="00C25018"/>
    <w:rsid w:val="00C36E64"/>
    <w:rsid w:val="00C44B8C"/>
    <w:rsid w:val="00C64753"/>
    <w:rsid w:val="00C7632B"/>
    <w:rsid w:val="00C86D3B"/>
    <w:rsid w:val="00C8776A"/>
    <w:rsid w:val="00C90C67"/>
    <w:rsid w:val="00C94E01"/>
    <w:rsid w:val="00CA2AB7"/>
    <w:rsid w:val="00CB088F"/>
    <w:rsid w:val="00CB1839"/>
    <w:rsid w:val="00CB23C2"/>
    <w:rsid w:val="00CB2546"/>
    <w:rsid w:val="00CC7DAA"/>
    <w:rsid w:val="00CD0AB9"/>
    <w:rsid w:val="00CD717B"/>
    <w:rsid w:val="00CF432F"/>
    <w:rsid w:val="00CF6BEE"/>
    <w:rsid w:val="00D037BE"/>
    <w:rsid w:val="00D10927"/>
    <w:rsid w:val="00D11ADE"/>
    <w:rsid w:val="00D15530"/>
    <w:rsid w:val="00D15F48"/>
    <w:rsid w:val="00D43230"/>
    <w:rsid w:val="00D46EA2"/>
    <w:rsid w:val="00D54728"/>
    <w:rsid w:val="00D820C0"/>
    <w:rsid w:val="00D905D3"/>
    <w:rsid w:val="00D928F8"/>
    <w:rsid w:val="00D95955"/>
    <w:rsid w:val="00D96FB2"/>
    <w:rsid w:val="00DA16A4"/>
    <w:rsid w:val="00DA3BC0"/>
    <w:rsid w:val="00DA7E1D"/>
    <w:rsid w:val="00DB1168"/>
    <w:rsid w:val="00DD0004"/>
    <w:rsid w:val="00DE3480"/>
    <w:rsid w:val="00DE39F9"/>
    <w:rsid w:val="00DF229A"/>
    <w:rsid w:val="00DF56AF"/>
    <w:rsid w:val="00DF7FFD"/>
    <w:rsid w:val="00E227C5"/>
    <w:rsid w:val="00E2740D"/>
    <w:rsid w:val="00E27551"/>
    <w:rsid w:val="00E462C1"/>
    <w:rsid w:val="00E46EC6"/>
    <w:rsid w:val="00E57768"/>
    <w:rsid w:val="00E63D7B"/>
    <w:rsid w:val="00E7351A"/>
    <w:rsid w:val="00E83423"/>
    <w:rsid w:val="00E84F74"/>
    <w:rsid w:val="00E96799"/>
    <w:rsid w:val="00EA1411"/>
    <w:rsid w:val="00EA5849"/>
    <w:rsid w:val="00EB3DA3"/>
    <w:rsid w:val="00EB4C90"/>
    <w:rsid w:val="00EB6E10"/>
    <w:rsid w:val="00EB7B0D"/>
    <w:rsid w:val="00EC1639"/>
    <w:rsid w:val="00EE3166"/>
    <w:rsid w:val="00EF61E5"/>
    <w:rsid w:val="00EF77DC"/>
    <w:rsid w:val="00F036D9"/>
    <w:rsid w:val="00F07309"/>
    <w:rsid w:val="00F1456A"/>
    <w:rsid w:val="00F14902"/>
    <w:rsid w:val="00F2644A"/>
    <w:rsid w:val="00F30E9C"/>
    <w:rsid w:val="00F35267"/>
    <w:rsid w:val="00F44FAF"/>
    <w:rsid w:val="00F45B82"/>
    <w:rsid w:val="00F602C2"/>
    <w:rsid w:val="00F636D3"/>
    <w:rsid w:val="00F71557"/>
    <w:rsid w:val="00F74E27"/>
    <w:rsid w:val="00F81CB8"/>
    <w:rsid w:val="00F86332"/>
    <w:rsid w:val="00F872B8"/>
    <w:rsid w:val="00F94899"/>
    <w:rsid w:val="00FA28C9"/>
    <w:rsid w:val="00FA5E5F"/>
    <w:rsid w:val="00FB08FE"/>
    <w:rsid w:val="00FB3622"/>
    <w:rsid w:val="00FC4294"/>
    <w:rsid w:val="00FD560F"/>
    <w:rsid w:val="00FE004E"/>
    <w:rsid w:val="00FE1AAE"/>
    <w:rsid w:val="00FE41C5"/>
    <w:rsid w:val="00FE586D"/>
    <w:rsid w:val="00FE73C9"/>
    <w:rsid w:val="00FF0A9D"/>
    <w:rsid w:val="00FF649A"/>
    <w:rsid w:val="00FF6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A147"/>
  <w15:chartTrackingRefBased/>
  <w15:docId w15:val="{D6E73EA3-564A-442D-A82D-BC879DAE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51F"/>
  </w:style>
  <w:style w:type="paragraph" w:styleId="Footer">
    <w:name w:val="footer"/>
    <w:basedOn w:val="Normal"/>
    <w:link w:val="FooterChar"/>
    <w:uiPriority w:val="99"/>
    <w:unhideWhenUsed/>
    <w:rsid w:val="002E1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1F"/>
  </w:style>
  <w:style w:type="paragraph" w:styleId="NormalWeb">
    <w:name w:val="Normal (Web)"/>
    <w:basedOn w:val="Normal"/>
    <w:uiPriority w:val="99"/>
    <w:semiHidden/>
    <w:unhideWhenUsed/>
    <w:rsid w:val="00971B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971B1A"/>
  </w:style>
  <w:style w:type="paragraph" w:customStyle="1" w:styleId="apapaoi">
    <w:name w:val="apapaoi"/>
    <w:basedOn w:val="Normal"/>
    <w:rsid w:val="007659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4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143177">
      <w:bodyDiv w:val="1"/>
      <w:marLeft w:val="0"/>
      <w:marRight w:val="0"/>
      <w:marTop w:val="0"/>
      <w:marBottom w:val="0"/>
      <w:divBdr>
        <w:top w:val="none" w:sz="0" w:space="0" w:color="auto"/>
        <w:left w:val="none" w:sz="0" w:space="0" w:color="auto"/>
        <w:bottom w:val="none" w:sz="0" w:space="0" w:color="auto"/>
        <w:right w:val="none" w:sz="0" w:space="0" w:color="auto"/>
      </w:divBdr>
    </w:div>
    <w:div w:id="901140365">
      <w:bodyDiv w:val="1"/>
      <w:marLeft w:val="0"/>
      <w:marRight w:val="0"/>
      <w:marTop w:val="0"/>
      <w:marBottom w:val="0"/>
      <w:divBdr>
        <w:top w:val="none" w:sz="0" w:space="0" w:color="auto"/>
        <w:left w:val="none" w:sz="0" w:space="0" w:color="auto"/>
        <w:bottom w:val="none" w:sz="0" w:space="0" w:color="auto"/>
        <w:right w:val="none" w:sz="0" w:space="0" w:color="auto"/>
      </w:divBdr>
    </w:div>
    <w:div w:id="9352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Marilia Hadjiprodromou</cp:lastModifiedBy>
  <cp:revision>7</cp:revision>
  <cp:lastPrinted>2024-03-13T06:26:00Z</cp:lastPrinted>
  <dcterms:created xsi:type="dcterms:W3CDTF">2024-04-11T10:41:00Z</dcterms:created>
  <dcterms:modified xsi:type="dcterms:W3CDTF">2024-04-11T10:43:00Z</dcterms:modified>
</cp:coreProperties>
</file>